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DBA" w:rsidRDefault="00DA54CE"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-287020</wp:posOffset>
            </wp:positionV>
            <wp:extent cx="4055110" cy="10172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CEP.purpl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77" b="28138"/>
                    <a:stretch/>
                  </pic:blipFill>
                  <pic:spPr bwMode="auto">
                    <a:xfrm>
                      <a:off x="0" y="0"/>
                      <a:ext cx="4055110" cy="1017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-429895</wp:posOffset>
            </wp:positionV>
            <wp:extent cx="1439545" cy="14395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S Logo 2co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DBA" w:rsidRDefault="006E3DBA"/>
    <w:p w:rsidR="00526471" w:rsidRDefault="00526471"/>
    <w:p w:rsidR="006E3DBA" w:rsidRPr="006E3DBA" w:rsidRDefault="006E3DBA" w:rsidP="00DA54CE">
      <w:pPr>
        <w:autoSpaceDE w:val="0"/>
        <w:autoSpaceDN w:val="0"/>
        <w:adjustRightInd w:val="0"/>
        <w:spacing w:before="360" w:after="120" w:line="360" w:lineRule="auto"/>
        <w:rPr>
          <w:rFonts w:ascii="Arial" w:hAnsi="Arial" w:cs="Arial"/>
          <w:b/>
          <w:color w:val="000000"/>
          <w:sz w:val="28"/>
          <w:szCs w:val="24"/>
        </w:rPr>
      </w:pPr>
      <w:r w:rsidRPr="006E3DBA">
        <w:rPr>
          <w:rFonts w:ascii="Arial" w:hAnsi="Arial" w:cs="Arial"/>
          <w:b/>
          <w:color w:val="000000"/>
          <w:sz w:val="28"/>
          <w:szCs w:val="24"/>
        </w:rPr>
        <w:t>Dental advice for patients prescribed anti-resorpti</w:t>
      </w:r>
      <w:r>
        <w:rPr>
          <w:rFonts w:ascii="Arial" w:hAnsi="Arial" w:cs="Arial"/>
          <w:b/>
          <w:color w:val="000000"/>
          <w:sz w:val="28"/>
          <w:szCs w:val="24"/>
        </w:rPr>
        <w:t xml:space="preserve">ve or anti-angiogenic drugs for </w:t>
      </w:r>
      <w:r w:rsidRPr="006E3DBA">
        <w:rPr>
          <w:rFonts w:ascii="Arial" w:hAnsi="Arial" w:cs="Arial"/>
          <w:b/>
          <w:color w:val="000000"/>
          <w:sz w:val="28"/>
          <w:szCs w:val="24"/>
        </w:rPr>
        <w:t>the management of cancer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color w:val="6D247B"/>
          <w:sz w:val="24"/>
          <w:szCs w:val="24"/>
        </w:rPr>
      </w:pPr>
      <w:r w:rsidRPr="006E3DBA">
        <w:rPr>
          <w:rFonts w:ascii="Arial" w:hAnsi="Arial" w:cs="Arial"/>
          <w:b/>
          <w:bCs/>
          <w:color w:val="6D247B"/>
          <w:sz w:val="24"/>
          <w:szCs w:val="24"/>
        </w:rPr>
        <w:t>Why have I been given this leaflet?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color w:val="000000"/>
          <w:sz w:val="24"/>
          <w:szCs w:val="24"/>
        </w:rPr>
        <w:t>You have told your dentist that as part of your cancer treatment, you are being given a drug t</w:t>
      </w:r>
      <w:r>
        <w:rPr>
          <w:rFonts w:ascii="Arial" w:hAnsi="Arial" w:cs="Arial"/>
          <w:color w:val="000000"/>
          <w:sz w:val="24"/>
          <w:szCs w:val="24"/>
        </w:rPr>
        <w:t xml:space="preserve">hat might affect your jaw bone. </w:t>
      </w:r>
      <w:r w:rsidRPr="006E3DBA">
        <w:rPr>
          <w:rFonts w:ascii="Arial" w:hAnsi="Arial" w:cs="Arial"/>
          <w:color w:val="000000"/>
          <w:sz w:val="24"/>
          <w:szCs w:val="24"/>
        </w:rPr>
        <w:t xml:space="preserve">There is a risk for developing a condition called medication-related osteonecrosis of the jaw </w:t>
      </w:r>
      <w:r>
        <w:rPr>
          <w:rFonts w:ascii="Arial" w:hAnsi="Arial" w:cs="Arial"/>
          <w:color w:val="000000"/>
          <w:sz w:val="24"/>
          <w:szCs w:val="24"/>
        </w:rPr>
        <w:t xml:space="preserve">(MRONJ). This may result in </w:t>
      </w:r>
      <w:r w:rsidRPr="006E3DBA">
        <w:rPr>
          <w:rFonts w:ascii="Arial" w:hAnsi="Arial" w:cs="Arial"/>
          <w:color w:val="000000"/>
          <w:sz w:val="24"/>
          <w:szCs w:val="24"/>
        </w:rPr>
        <w:t>some bone becoming exposed in your jaw and is a side effect of treatment with these drugs.</w:t>
      </w:r>
      <w:r>
        <w:rPr>
          <w:rFonts w:ascii="Arial" w:hAnsi="Arial" w:cs="Arial"/>
          <w:color w:val="000000"/>
          <w:sz w:val="24"/>
          <w:szCs w:val="24"/>
        </w:rPr>
        <w:t xml:space="preserve"> See overleaf for a list of the </w:t>
      </w:r>
      <w:r w:rsidRPr="006E3DBA">
        <w:rPr>
          <w:rFonts w:ascii="Arial" w:hAnsi="Arial" w:cs="Arial"/>
          <w:color w:val="000000"/>
          <w:sz w:val="24"/>
          <w:szCs w:val="24"/>
        </w:rPr>
        <w:t>drugs associated with MRONJ which can be prescribed for the treatment of cancer.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color w:val="6D247B"/>
          <w:sz w:val="24"/>
          <w:szCs w:val="24"/>
        </w:rPr>
      </w:pPr>
      <w:r w:rsidRPr="006E3DBA">
        <w:rPr>
          <w:rFonts w:ascii="Arial" w:hAnsi="Arial" w:cs="Arial"/>
          <w:b/>
          <w:bCs/>
          <w:color w:val="6D247B"/>
          <w:sz w:val="24"/>
          <w:szCs w:val="24"/>
        </w:rPr>
        <w:t>What is the risk of developing this side effect?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color w:val="000000"/>
          <w:sz w:val="24"/>
          <w:szCs w:val="24"/>
        </w:rPr>
        <w:t>The risk is low as this is an uncommon side-effect of the drug treatment.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color w:val="6D247B"/>
          <w:sz w:val="24"/>
          <w:szCs w:val="24"/>
        </w:rPr>
      </w:pPr>
      <w:r w:rsidRPr="006E3DBA">
        <w:rPr>
          <w:rFonts w:ascii="Arial" w:hAnsi="Arial" w:cs="Arial"/>
          <w:b/>
          <w:bCs/>
          <w:color w:val="6D247B"/>
          <w:sz w:val="24"/>
          <w:szCs w:val="24"/>
        </w:rPr>
        <w:t>Should I stop taking the drug?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color w:val="000000"/>
          <w:sz w:val="24"/>
          <w:szCs w:val="24"/>
        </w:rPr>
        <w:t xml:space="preserve">No, continue to take your medication. The medical benefits will far outweigh the risks. Talk </w:t>
      </w:r>
      <w:r>
        <w:rPr>
          <w:rFonts w:ascii="Arial" w:hAnsi="Arial" w:cs="Arial"/>
          <w:color w:val="000000"/>
          <w:sz w:val="24"/>
          <w:szCs w:val="24"/>
        </w:rPr>
        <w:t xml:space="preserve">with your doctor and dentist if </w:t>
      </w:r>
      <w:r w:rsidRPr="006E3DBA">
        <w:rPr>
          <w:rFonts w:ascii="Arial" w:hAnsi="Arial" w:cs="Arial"/>
          <w:color w:val="000000"/>
          <w:sz w:val="24"/>
          <w:szCs w:val="24"/>
        </w:rPr>
        <w:t>you have any questions.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color w:val="6D247B"/>
          <w:sz w:val="24"/>
          <w:szCs w:val="24"/>
        </w:rPr>
      </w:pPr>
      <w:r w:rsidRPr="006E3DBA">
        <w:rPr>
          <w:rFonts w:ascii="Arial" w:hAnsi="Arial" w:cs="Arial"/>
          <w:b/>
          <w:bCs/>
          <w:color w:val="6D247B"/>
          <w:sz w:val="24"/>
          <w:szCs w:val="24"/>
        </w:rPr>
        <w:t>What are the risks associated with dental treatment?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color w:val="000000"/>
          <w:sz w:val="24"/>
          <w:szCs w:val="24"/>
        </w:rPr>
        <w:t>The risk is very low to non-existent for most ordinary treatments. The risk is increased if you</w:t>
      </w:r>
      <w:r>
        <w:rPr>
          <w:rFonts w:ascii="Arial" w:hAnsi="Arial" w:cs="Arial"/>
          <w:color w:val="000000"/>
          <w:sz w:val="24"/>
          <w:szCs w:val="24"/>
        </w:rPr>
        <w:t xml:space="preserve"> require treatment that affects </w:t>
      </w:r>
      <w:r w:rsidRPr="006E3DBA">
        <w:rPr>
          <w:rFonts w:ascii="Arial" w:hAnsi="Arial" w:cs="Arial"/>
          <w:color w:val="000000"/>
          <w:sz w:val="24"/>
          <w:szCs w:val="24"/>
        </w:rPr>
        <w:t>bone (like a tooth extraction) but is still considered low.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color w:val="6D247B"/>
          <w:sz w:val="24"/>
          <w:szCs w:val="24"/>
        </w:rPr>
      </w:pPr>
      <w:r w:rsidRPr="006E3DBA">
        <w:rPr>
          <w:rFonts w:ascii="Arial" w:hAnsi="Arial" w:cs="Arial"/>
          <w:b/>
          <w:bCs/>
          <w:color w:val="6D247B"/>
          <w:sz w:val="24"/>
          <w:szCs w:val="24"/>
        </w:rPr>
        <w:t>What are the risks associated with not having dental treatment?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color w:val="000000"/>
          <w:sz w:val="24"/>
          <w:szCs w:val="24"/>
        </w:rPr>
        <w:t>You may be at increased risk of developing other health problems if a dental disease is not tre</w:t>
      </w:r>
      <w:r>
        <w:rPr>
          <w:rFonts w:ascii="Arial" w:hAnsi="Arial" w:cs="Arial"/>
          <w:color w:val="000000"/>
          <w:sz w:val="24"/>
          <w:szCs w:val="24"/>
        </w:rPr>
        <w:t xml:space="preserve">ated. Your dentist will be able </w:t>
      </w:r>
      <w:r w:rsidRPr="006E3DBA">
        <w:rPr>
          <w:rFonts w:ascii="Arial" w:hAnsi="Arial" w:cs="Arial"/>
          <w:color w:val="000000"/>
          <w:sz w:val="24"/>
          <w:szCs w:val="24"/>
        </w:rPr>
        <w:t>to discuss alternative treatment options and the risks associated with them. You should also</w:t>
      </w:r>
      <w:r>
        <w:rPr>
          <w:rFonts w:ascii="Arial" w:hAnsi="Arial" w:cs="Arial"/>
          <w:color w:val="000000"/>
          <w:sz w:val="24"/>
          <w:szCs w:val="24"/>
        </w:rPr>
        <w:t xml:space="preserve"> consult with your doctor about </w:t>
      </w:r>
      <w:r w:rsidRPr="006E3DBA">
        <w:rPr>
          <w:rFonts w:ascii="Arial" w:hAnsi="Arial" w:cs="Arial"/>
          <w:color w:val="000000"/>
          <w:sz w:val="24"/>
          <w:szCs w:val="24"/>
        </w:rPr>
        <w:t>any health risks.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color w:val="6D247B"/>
          <w:sz w:val="24"/>
          <w:szCs w:val="24"/>
        </w:rPr>
      </w:pPr>
      <w:r w:rsidRPr="006E3DBA">
        <w:rPr>
          <w:rFonts w:ascii="Arial" w:hAnsi="Arial" w:cs="Arial"/>
          <w:b/>
          <w:bCs/>
          <w:color w:val="6D247B"/>
          <w:sz w:val="24"/>
          <w:szCs w:val="24"/>
        </w:rPr>
        <w:t>Can I decrease my risk of developing this side effect?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color w:val="000000"/>
          <w:sz w:val="24"/>
          <w:szCs w:val="24"/>
        </w:rPr>
        <w:t>There are several things you can do to reduce the risk of this side effect:</w:t>
      </w:r>
    </w:p>
    <w:p w:rsidR="006E3DBA" w:rsidRPr="006E3DBA" w:rsidRDefault="006E3DBA" w:rsidP="006E3D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b/>
          <w:color w:val="000000"/>
          <w:sz w:val="24"/>
          <w:szCs w:val="24"/>
        </w:rPr>
        <w:lastRenderedPageBreak/>
        <w:t>Visit your dentist for regular dental ch</w:t>
      </w:r>
      <w:r w:rsidRPr="006E3DBA">
        <w:rPr>
          <w:rFonts w:ascii="Arial" w:hAnsi="Arial" w:cs="Arial"/>
          <w:b/>
          <w:color w:val="000000"/>
          <w:sz w:val="24"/>
          <w:szCs w:val="24"/>
        </w:rPr>
        <w:t>eck-ups</w:t>
      </w:r>
      <w:r w:rsidRPr="006E3DBA">
        <w:rPr>
          <w:rFonts w:ascii="Arial" w:hAnsi="Arial" w:cs="Arial"/>
          <w:color w:val="000000"/>
          <w:sz w:val="24"/>
          <w:szCs w:val="24"/>
        </w:rPr>
        <w:br/>
      </w:r>
      <w:r w:rsidRPr="006E3DBA">
        <w:rPr>
          <w:rFonts w:ascii="Arial" w:hAnsi="Arial" w:cs="Arial"/>
          <w:color w:val="000000"/>
          <w:sz w:val="24"/>
          <w:szCs w:val="24"/>
        </w:rPr>
        <w:t>Your dentist will monitor your oral health to ensure that any dental disease tha</w:t>
      </w:r>
      <w:r w:rsidRPr="006E3DBA">
        <w:rPr>
          <w:rFonts w:ascii="Arial" w:hAnsi="Arial" w:cs="Arial"/>
          <w:color w:val="000000"/>
          <w:sz w:val="24"/>
          <w:szCs w:val="24"/>
        </w:rPr>
        <w:t xml:space="preserve">t may develop is treated before </w:t>
      </w:r>
      <w:r w:rsidRPr="006E3DBA">
        <w:rPr>
          <w:rFonts w:ascii="Arial" w:hAnsi="Arial" w:cs="Arial"/>
          <w:color w:val="000000"/>
          <w:sz w:val="24"/>
          <w:szCs w:val="24"/>
        </w:rPr>
        <w:t>dental surgery is required.</w:t>
      </w:r>
    </w:p>
    <w:p w:rsidR="006E3DBA" w:rsidRPr="006E3DBA" w:rsidRDefault="006E3DBA" w:rsidP="006E3D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b/>
          <w:color w:val="000000"/>
          <w:sz w:val="24"/>
          <w:szCs w:val="24"/>
        </w:rPr>
        <w:t>Ensure that you tell your dentist about all the medications you are taking and your medical history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6E3DBA">
        <w:rPr>
          <w:rFonts w:ascii="Arial" w:hAnsi="Arial" w:cs="Arial"/>
          <w:color w:val="000000"/>
          <w:sz w:val="24"/>
          <w:szCs w:val="24"/>
        </w:rPr>
        <w:t xml:space="preserve">Tell your dentist about any health problems that you have and all medicines </w:t>
      </w:r>
      <w:r w:rsidRPr="006E3DBA">
        <w:rPr>
          <w:rFonts w:ascii="Arial" w:hAnsi="Arial" w:cs="Arial"/>
          <w:color w:val="000000"/>
          <w:sz w:val="24"/>
          <w:szCs w:val="24"/>
        </w:rPr>
        <w:t xml:space="preserve">that you are taking so that the </w:t>
      </w:r>
      <w:r w:rsidRPr="006E3DBA">
        <w:rPr>
          <w:rFonts w:ascii="Arial" w:hAnsi="Arial" w:cs="Arial"/>
          <w:color w:val="000000"/>
          <w:sz w:val="24"/>
          <w:szCs w:val="24"/>
        </w:rPr>
        <w:t>dentist can assess your individual risk for developing MRONJ.</w:t>
      </w:r>
    </w:p>
    <w:p w:rsidR="006E3DBA" w:rsidRPr="006E3DBA" w:rsidRDefault="006E3DBA" w:rsidP="006E3D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b/>
          <w:color w:val="000000"/>
          <w:sz w:val="24"/>
          <w:szCs w:val="24"/>
        </w:rPr>
        <w:t xml:space="preserve">Talk to </w:t>
      </w:r>
      <w:r w:rsidRPr="006E3DBA">
        <w:rPr>
          <w:rFonts w:ascii="Arial" w:hAnsi="Arial" w:cs="Arial"/>
          <w:b/>
          <w:color w:val="000000"/>
          <w:sz w:val="24"/>
          <w:szCs w:val="24"/>
        </w:rPr>
        <w:t>your dentist about oral hygiene</w:t>
      </w:r>
      <w:r w:rsidRPr="006E3DBA">
        <w:rPr>
          <w:rFonts w:ascii="Arial" w:hAnsi="Arial" w:cs="Arial"/>
          <w:color w:val="000000"/>
          <w:sz w:val="24"/>
          <w:szCs w:val="24"/>
        </w:rPr>
        <w:br/>
      </w:r>
      <w:r w:rsidRPr="006E3DBA">
        <w:rPr>
          <w:rFonts w:ascii="Arial" w:hAnsi="Arial" w:cs="Arial"/>
          <w:color w:val="000000"/>
          <w:sz w:val="24"/>
          <w:szCs w:val="24"/>
        </w:rPr>
        <w:t>Cleaning your teeth regularly and carefully is the best way to prevent oral d</w:t>
      </w:r>
      <w:r w:rsidRPr="006E3DBA">
        <w:rPr>
          <w:rFonts w:ascii="Arial" w:hAnsi="Arial" w:cs="Arial"/>
          <w:color w:val="000000"/>
          <w:sz w:val="24"/>
          <w:szCs w:val="24"/>
        </w:rPr>
        <w:t xml:space="preserve">iseases that may require dental </w:t>
      </w:r>
      <w:r w:rsidRPr="006E3DBA">
        <w:rPr>
          <w:rFonts w:ascii="Arial" w:hAnsi="Arial" w:cs="Arial"/>
          <w:color w:val="000000"/>
          <w:sz w:val="24"/>
          <w:szCs w:val="24"/>
        </w:rPr>
        <w:t>surgery. Your dentist can help you ensure the cleaning technique you use is effective.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color w:val="6D247B"/>
          <w:sz w:val="24"/>
          <w:szCs w:val="24"/>
        </w:rPr>
      </w:pPr>
      <w:r w:rsidRPr="006E3DBA">
        <w:rPr>
          <w:rFonts w:ascii="Arial" w:hAnsi="Arial" w:cs="Arial"/>
          <w:b/>
          <w:bCs/>
          <w:color w:val="6D247B"/>
          <w:sz w:val="24"/>
          <w:szCs w:val="24"/>
        </w:rPr>
        <w:t>What else can I do?</w:t>
      </w:r>
    </w:p>
    <w:p w:rsidR="006E3DBA" w:rsidRPr="006E3DBA" w:rsidRDefault="006E3DBA" w:rsidP="006E3D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b/>
          <w:color w:val="000000"/>
          <w:sz w:val="24"/>
          <w:szCs w:val="24"/>
        </w:rPr>
        <w:t>Stop smoking</w:t>
      </w:r>
      <w:r w:rsidRPr="006E3DBA">
        <w:rPr>
          <w:rFonts w:ascii="Arial" w:hAnsi="Arial" w:cs="Arial"/>
          <w:color w:val="000000"/>
          <w:sz w:val="24"/>
          <w:szCs w:val="24"/>
        </w:rPr>
        <w:br/>
      </w:r>
      <w:r w:rsidRPr="006E3DBA">
        <w:rPr>
          <w:rFonts w:ascii="Arial" w:hAnsi="Arial" w:cs="Arial"/>
          <w:color w:val="000000"/>
          <w:sz w:val="24"/>
          <w:szCs w:val="24"/>
        </w:rPr>
        <w:t>Smoking can affect your oral health. There are various services to help you stop/</w:t>
      </w:r>
      <w:r w:rsidRPr="006E3DBA">
        <w:rPr>
          <w:rFonts w:ascii="Arial" w:hAnsi="Arial" w:cs="Arial"/>
          <w:color w:val="000000"/>
          <w:sz w:val="24"/>
          <w:szCs w:val="24"/>
        </w:rPr>
        <w:t xml:space="preserve">give up. For help and advice in </w:t>
      </w:r>
      <w:r w:rsidRPr="006E3DBA">
        <w:rPr>
          <w:rFonts w:ascii="Arial" w:hAnsi="Arial" w:cs="Arial"/>
          <w:color w:val="000000"/>
          <w:sz w:val="24"/>
          <w:szCs w:val="24"/>
        </w:rPr>
        <w:t>Scotland, call Smokeline (0800 84 84 84) or go to www.canstopsmoking.com.</w:t>
      </w:r>
    </w:p>
    <w:p w:rsidR="006E3DBA" w:rsidRPr="006E3DBA" w:rsidRDefault="006E3DBA" w:rsidP="006E3D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b/>
          <w:color w:val="000000"/>
          <w:sz w:val="24"/>
          <w:szCs w:val="24"/>
        </w:rPr>
        <w:t>Reduce the freque</w:t>
      </w:r>
      <w:r w:rsidRPr="006E3DBA">
        <w:rPr>
          <w:rFonts w:ascii="Arial" w:hAnsi="Arial" w:cs="Arial"/>
          <w:b/>
          <w:color w:val="000000"/>
          <w:sz w:val="24"/>
          <w:szCs w:val="24"/>
        </w:rPr>
        <w:t>ncy of sugary snacks and drinks</w:t>
      </w:r>
      <w:r w:rsidRPr="006E3DBA">
        <w:rPr>
          <w:rFonts w:ascii="Arial" w:hAnsi="Arial" w:cs="Arial"/>
          <w:color w:val="000000"/>
          <w:sz w:val="24"/>
          <w:szCs w:val="24"/>
        </w:rPr>
        <w:br/>
      </w:r>
      <w:r w:rsidRPr="006E3DBA">
        <w:rPr>
          <w:rFonts w:ascii="Arial" w:hAnsi="Arial" w:cs="Arial"/>
          <w:color w:val="000000"/>
          <w:sz w:val="24"/>
          <w:szCs w:val="24"/>
        </w:rPr>
        <w:t>Regular consumption of sugary snacks and drinks can lead to tooth decay.</w:t>
      </w:r>
    </w:p>
    <w:p w:rsidR="006E3DBA" w:rsidRPr="006E3DBA" w:rsidRDefault="006E3DBA" w:rsidP="006E3D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b/>
          <w:color w:val="000000"/>
          <w:sz w:val="24"/>
          <w:szCs w:val="24"/>
        </w:rPr>
        <w:t xml:space="preserve">Reduce </w:t>
      </w:r>
      <w:r w:rsidRPr="006E3DBA">
        <w:rPr>
          <w:rFonts w:ascii="Arial" w:hAnsi="Arial" w:cs="Arial"/>
          <w:b/>
          <w:color w:val="000000"/>
          <w:sz w:val="24"/>
          <w:szCs w:val="24"/>
        </w:rPr>
        <w:t>the amount of alcohol you drink</w:t>
      </w:r>
      <w:r w:rsidRPr="006E3DBA">
        <w:rPr>
          <w:rFonts w:ascii="Arial" w:hAnsi="Arial" w:cs="Arial"/>
          <w:color w:val="000000"/>
          <w:sz w:val="24"/>
          <w:szCs w:val="24"/>
        </w:rPr>
        <w:br/>
      </w:r>
      <w:r w:rsidRPr="006E3DBA">
        <w:rPr>
          <w:rFonts w:ascii="Arial" w:hAnsi="Arial" w:cs="Arial"/>
          <w:color w:val="000000"/>
          <w:sz w:val="24"/>
          <w:szCs w:val="24"/>
        </w:rPr>
        <w:t>Regular heavy alcohol consumption can increase your risk of developing some dental diseases.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color w:val="6D247B"/>
          <w:sz w:val="24"/>
          <w:szCs w:val="24"/>
        </w:rPr>
      </w:pPr>
      <w:r w:rsidRPr="006E3DBA">
        <w:rPr>
          <w:rFonts w:ascii="Arial" w:hAnsi="Arial" w:cs="Arial"/>
          <w:b/>
          <w:bCs/>
          <w:color w:val="6D247B"/>
          <w:sz w:val="24"/>
          <w:szCs w:val="24"/>
        </w:rPr>
        <w:t>Are there signs and symptoms I should look out for?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color w:val="000000"/>
          <w:sz w:val="24"/>
          <w:szCs w:val="24"/>
        </w:rPr>
        <w:t>You should contact your dentist immediately if you notice any of the following symptoms:</w:t>
      </w:r>
    </w:p>
    <w:p w:rsidR="006E3DBA" w:rsidRPr="006E3DBA" w:rsidRDefault="006E3DBA" w:rsidP="006E3D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color w:val="000000"/>
          <w:sz w:val="24"/>
          <w:szCs w:val="24"/>
        </w:rPr>
        <w:t>Feeling of tingling, numbness, heaviness or other unusual sensations in your jaw</w:t>
      </w:r>
    </w:p>
    <w:p w:rsidR="006E3DBA" w:rsidRPr="006E3DBA" w:rsidRDefault="006E3DBA" w:rsidP="006E3D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color w:val="000000"/>
          <w:sz w:val="24"/>
          <w:szCs w:val="24"/>
        </w:rPr>
        <w:t>Pain in your jaw or a bad taste</w:t>
      </w:r>
    </w:p>
    <w:p w:rsidR="006E3DBA" w:rsidRPr="00DA54CE" w:rsidRDefault="006E3DBA" w:rsidP="00DA54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color w:val="000000"/>
          <w:sz w:val="24"/>
          <w:szCs w:val="24"/>
        </w:rPr>
        <w:t>Swelling of your jaw</w:t>
      </w:r>
    </w:p>
    <w:p w:rsidR="006E3DBA" w:rsidRPr="006E3DBA" w:rsidRDefault="006E3DBA" w:rsidP="006E3D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color w:val="000000"/>
          <w:sz w:val="24"/>
          <w:szCs w:val="24"/>
        </w:rPr>
        <w:t>Pus or discharge</w:t>
      </w:r>
    </w:p>
    <w:p w:rsidR="006E3DBA" w:rsidRPr="006E3DBA" w:rsidRDefault="006E3DBA" w:rsidP="006E3D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color w:val="000000"/>
          <w:sz w:val="24"/>
          <w:szCs w:val="24"/>
        </w:rPr>
        <w:t>Loose teeth</w:t>
      </w:r>
    </w:p>
    <w:p w:rsidR="006E3DBA" w:rsidRPr="006E3DBA" w:rsidRDefault="006E3DBA" w:rsidP="006E3D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color w:val="000000"/>
          <w:sz w:val="24"/>
          <w:szCs w:val="24"/>
        </w:rPr>
        <w:t>Exposed bone in your jaw</w:t>
      </w:r>
    </w:p>
    <w:p w:rsidR="00DA54CE" w:rsidRDefault="00DA54CE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color w:val="6D247B"/>
          <w:sz w:val="24"/>
          <w:szCs w:val="24"/>
        </w:rPr>
      </w:pP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color w:val="6D247B"/>
          <w:sz w:val="24"/>
          <w:szCs w:val="24"/>
        </w:rPr>
      </w:pPr>
      <w:r w:rsidRPr="006E3DBA">
        <w:rPr>
          <w:rFonts w:ascii="Arial" w:hAnsi="Arial" w:cs="Arial"/>
          <w:b/>
          <w:bCs/>
          <w:color w:val="6D247B"/>
          <w:sz w:val="24"/>
          <w:szCs w:val="24"/>
        </w:rPr>
        <w:lastRenderedPageBreak/>
        <w:t>If I develop medication-related osteonecrosis of the jaw, how will it be treated?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color w:val="000000"/>
          <w:sz w:val="24"/>
          <w:szCs w:val="24"/>
        </w:rPr>
        <w:t>If your dentist suspects that you have this side effect, you will be referred to hospital to be mana</w:t>
      </w:r>
      <w:r>
        <w:rPr>
          <w:rFonts w:ascii="Arial" w:hAnsi="Arial" w:cs="Arial"/>
          <w:color w:val="000000"/>
          <w:sz w:val="24"/>
          <w:szCs w:val="24"/>
        </w:rPr>
        <w:t xml:space="preserve">ged by specialists. In general, </w:t>
      </w:r>
      <w:r w:rsidRPr="006E3DBA">
        <w:rPr>
          <w:rFonts w:ascii="Arial" w:hAnsi="Arial" w:cs="Arial"/>
          <w:color w:val="000000"/>
          <w:sz w:val="24"/>
          <w:szCs w:val="24"/>
        </w:rPr>
        <w:t>for cases where only a small amount of bone is exposed, treatment may be with antibiotics</w:t>
      </w:r>
      <w:r>
        <w:rPr>
          <w:rFonts w:ascii="Arial" w:hAnsi="Arial" w:cs="Arial"/>
          <w:color w:val="000000"/>
          <w:sz w:val="24"/>
          <w:szCs w:val="24"/>
        </w:rPr>
        <w:t xml:space="preserve"> or antibacterial mouth rinses. </w:t>
      </w:r>
      <w:r w:rsidRPr="006E3DBA">
        <w:rPr>
          <w:rFonts w:ascii="Arial" w:hAnsi="Arial" w:cs="Arial"/>
          <w:color w:val="000000"/>
          <w:sz w:val="24"/>
          <w:szCs w:val="24"/>
        </w:rPr>
        <w:t>In cases where more bone is exposed, some surgery may be required. However, the trea</w:t>
      </w:r>
      <w:r>
        <w:rPr>
          <w:rFonts w:ascii="Arial" w:hAnsi="Arial" w:cs="Arial"/>
          <w:color w:val="000000"/>
          <w:sz w:val="24"/>
          <w:szCs w:val="24"/>
        </w:rPr>
        <w:t xml:space="preserve">tment given will depend on your </w:t>
      </w:r>
      <w:r w:rsidRPr="006E3DBA">
        <w:rPr>
          <w:rFonts w:ascii="Arial" w:hAnsi="Arial" w:cs="Arial"/>
          <w:color w:val="000000"/>
          <w:sz w:val="24"/>
          <w:szCs w:val="24"/>
        </w:rPr>
        <w:t>individual symptoms.</w:t>
      </w:r>
    </w:p>
    <w:p w:rsidR="006E3DBA" w:rsidRPr="00DA54CE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color w:val="6D247B"/>
          <w:sz w:val="24"/>
          <w:szCs w:val="24"/>
        </w:rPr>
      </w:pPr>
      <w:r w:rsidRPr="00DA54CE">
        <w:rPr>
          <w:rFonts w:ascii="Arial" w:hAnsi="Arial" w:cs="Arial"/>
          <w:b/>
          <w:bCs/>
          <w:color w:val="6D247B"/>
          <w:sz w:val="24"/>
          <w:szCs w:val="24"/>
        </w:rPr>
        <w:t>Remember, this side effect is uncommon and the benefits of taking th</w:t>
      </w:r>
      <w:r w:rsidRPr="00DA54CE">
        <w:rPr>
          <w:rFonts w:ascii="Arial" w:hAnsi="Arial" w:cs="Arial"/>
          <w:b/>
          <w:bCs/>
          <w:color w:val="6D247B"/>
          <w:sz w:val="24"/>
          <w:szCs w:val="24"/>
        </w:rPr>
        <w:t xml:space="preserve">e drug you have been prescribed </w:t>
      </w:r>
      <w:r w:rsidRPr="00DA54CE">
        <w:rPr>
          <w:rFonts w:ascii="Arial" w:hAnsi="Arial" w:cs="Arial"/>
          <w:b/>
          <w:bCs/>
          <w:color w:val="6D247B"/>
          <w:sz w:val="24"/>
          <w:szCs w:val="24"/>
        </w:rPr>
        <w:t>far outweigh the risks. Looking after your oral health will reduce your risk even more.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6E3DBA">
        <w:rPr>
          <w:rFonts w:ascii="Arial" w:hAnsi="Arial" w:cs="Arial"/>
          <w:b/>
          <w:color w:val="000000"/>
          <w:sz w:val="24"/>
          <w:szCs w:val="24"/>
        </w:rPr>
        <w:t>Drugs Associated with Medication-related Osteonecrosis of the Jaw (MRONJ)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color w:val="6D247B"/>
          <w:sz w:val="24"/>
          <w:szCs w:val="24"/>
        </w:rPr>
      </w:pPr>
      <w:r w:rsidRPr="006E3DBA">
        <w:rPr>
          <w:rFonts w:ascii="Arial" w:hAnsi="Arial" w:cs="Arial"/>
          <w:b/>
          <w:bCs/>
          <w:color w:val="6D247B"/>
          <w:sz w:val="24"/>
          <w:szCs w:val="24"/>
        </w:rPr>
        <w:t>Anti-resorptive drugs used in the management of cancer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color w:val="000000"/>
          <w:sz w:val="24"/>
          <w:szCs w:val="24"/>
        </w:rPr>
        <w:t>Zoledronic acid (Zometa®), ibandronic acid (Bondronat® or Iasibon®), pamidronat</w:t>
      </w:r>
      <w:r>
        <w:rPr>
          <w:rFonts w:ascii="Arial" w:hAnsi="Arial" w:cs="Arial"/>
          <w:color w:val="000000"/>
          <w:sz w:val="24"/>
          <w:szCs w:val="24"/>
        </w:rPr>
        <w:t xml:space="preserve">e disodium (Aredia®) and sodium </w:t>
      </w:r>
      <w:r w:rsidRPr="006E3DBA">
        <w:rPr>
          <w:rFonts w:ascii="Arial" w:hAnsi="Arial" w:cs="Arial"/>
          <w:color w:val="000000"/>
          <w:sz w:val="24"/>
          <w:szCs w:val="24"/>
        </w:rPr>
        <w:t>clodronate (Bonefos®, Clasteon® or Loron®) belong to a class of drugs called the bisphospho</w:t>
      </w:r>
      <w:r>
        <w:rPr>
          <w:rFonts w:ascii="Arial" w:hAnsi="Arial" w:cs="Arial"/>
          <w:color w:val="000000"/>
          <w:sz w:val="24"/>
          <w:szCs w:val="24"/>
        </w:rPr>
        <w:t xml:space="preserve">nates. These drugs can be given </w:t>
      </w:r>
      <w:r w:rsidRPr="006E3DBA">
        <w:rPr>
          <w:rFonts w:ascii="Arial" w:hAnsi="Arial" w:cs="Arial"/>
          <w:color w:val="000000"/>
          <w:sz w:val="24"/>
          <w:szCs w:val="24"/>
        </w:rPr>
        <w:t>as tablets, injections or infusions. Denosumab (Xgeva®) is given as a monthly injection.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color w:val="6D247B"/>
          <w:sz w:val="24"/>
          <w:szCs w:val="24"/>
        </w:rPr>
      </w:pPr>
      <w:r w:rsidRPr="006E3DBA">
        <w:rPr>
          <w:rFonts w:ascii="Arial" w:hAnsi="Arial" w:cs="Arial"/>
          <w:b/>
          <w:bCs/>
          <w:color w:val="6D247B"/>
          <w:sz w:val="24"/>
          <w:szCs w:val="24"/>
        </w:rPr>
        <w:t>Anti-angiogenic drugs used in the management of cancer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color w:val="000000"/>
          <w:sz w:val="24"/>
          <w:szCs w:val="24"/>
        </w:rPr>
        <w:t>Bevacizumab (Avastin®), sunitinib (Sutent®) and aflibercept (Zaltrap®) are anti-angiogen</w:t>
      </w:r>
      <w:r>
        <w:rPr>
          <w:rFonts w:ascii="Arial" w:hAnsi="Arial" w:cs="Arial"/>
          <w:color w:val="000000"/>
          <w:sz w:val="24"/>
          <w:szCs w:val="24"/>
        </w:rPr>
        <w:t xml:space="preserve">ic drugs associated with MRONJ. </w:t>
      </w:r>
      <w:r w:rsidRPr="006E3DBA">
        <w:rPr>
          <w:rFonts w:ascii="Arial" w:hAnsi="Arial" w:cs="Arial"/>
          <w:color w:val="000000"/>
          <w:sz w:val="24"/>
          <w:szCs w:val="24"/>
        </w:rPr>
        <w:t>These drugs can be given as capsules or infusions.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6E3DBA">
        <w:rPr>
          <w:rFonts w:ascii="Arial" w:hAnsi="Arial" w:cs="Arial"/>
          <w:b/>
          <w:color w:val="000000"/>
          <w:sz w:val="24"/>
          <w:szCs w:val="24"/>
        </w:rPr>
        <w:t>Risk level</w:t>
      </w:r>
    </w:p>
    <w:p w:rsid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color w:val="000000"/>
          <w:sz w:val="24"/>
          <w:szCs w:val="24"/>
        </w:rPr>
        <w:t>For patients taking anti-resorptive or anti-angiogenic drugs for the management of cancer, t</w:t>
      </w:r>
      <w:r>
        <w:rPr>
          <w:rFonts w:ascii="Arial" w:hAnsi="Arial" w:cs="Arial"/>
          <w:color w:val="000000"/>
          <w:sz w:val="24"/>
          <w:szCs w:val="24"/>
        </w:rPr>
        <w:t xml:space="preserve">he risk of developing this side </w:t>
      </w:r>
      <w:r w:rsidRPr="006E3DBA">
        <w:rPr>
          <w:rFonts w:ascii="Arial" w:hAnsi="Arial" w:cs="Arial"/>
          <w:color w:val="000000"/>
          <w:sz w:val="24"/>
          <w:szCs w:val="24"/>
        </w:rPr>
        <w:t>effect is around 1 in 100. The illustration below may help you visualise what this means for you.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F0F6"/>
        <w:tblLook w:val="04A0" w:firstRow="1" w:lastRow="0" w:firstColumn="1" w:lastColumn="0" w:noHBand="0" w:noVBand="1"/>
      </w:tblPr>
      <w:tblGrid>
        <w:gridCol w:w="1552"/>
        <w:gridCol w:w="1569"/>
        <w:gridCol w:w="1570"/>
        <w:gridCol w:w="1570"/>
        <w:gridCol w:w="1570"/>
        <w:gridCol w:w="1569"/>
      </w:tblGrid>
      <w:tr w:rsidR="006E3DBA" w:rsidRPr="006E3DBA" w:rsidTr="00353BAE">
        <w:trPr>
          <w:jc w:val="center"/>
        </w:trPr>
        <w:tc>
          <w:tcPr>
            <w:tcW w:w="1566" w:type="dxa"/>
            <w:shd w:val="clear" w:color="auto" w:fill="F3F0F6"/>
            <w:vAlign w:val="center"/>
          </w:tcPr>
          <w:p w:rsidR="006E3DBA" w:rsidRPr="006E3DBA" w:rsidRDefault="006E3DBA" w:rsidP="00353BAE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19"/>
              </w:rPr>
            </w:pPr>
            <w:r w:rsidRPr="006E3DBA">
              <w:rPr>
                <w:rFonts w:ascii="Arial" w:hAnsi="Arial" w:cs="Arial"/>
                <w:b/>
                <w:sz w:val="22"/>
                <w:szCs w:val="19"/>
              </w:rPr>
              <w:t>Risk</w:t>
            </w:r>
          </w:p>
        </w:tc>
        <w:tc>
          <w:tcPr>
            <w:tcW w:w="1566" w:type="dxa"/>
            <w:shd w:val="clear" w:color="auto" w:fill="F3F0F6"/>
            <w:vAlign w:val="center"/>
          </w:tcPr>
          <w:p w:rsidR="006E3DBA" w:rsidRPr="006E3DBA" w:rsidRDefault="006E3DBA" w:rsidP="00353BAE">
            <w:pPr>
              <w:spacing w:after="60"/>
              <w:jc w:val="center"/>
              <w:rPr>
                <w:rFonts w:ascii="Arial" w:hAnsi="Arial" w:cs="Arial"/>
                <w:sz w:val="22"/>
                <w:szCs w:val="19"/>
              </w:rPr>
            </w:pPr>
            <w:r w:rsidRPr="006E3DBA">
              <w:rPr>
                <w:rFonts w:ascii="Arial" w:hAnsi="Arial" w:cs="Arial"/>
                <w:sz w:val="22"/>
                <w:szCs w:val="19"/>
              </w:rPr>
              <w:t>1 in 10</w:t>
            </w:r>
          </w:p>
        </w:tc>
        <w:tc>
          <w:tcPr>
            <w:tcW w:w="1567" w:type="dxa"/>
            <w:shd w:val="clear" w:color="auto" w:fill="F3F0F6"/>
            <w:vAlign w:val="center"/>
          </w:tcPr>
          <w:p w:rsidR="006E3DBA" w:rsidRPr="006E3DBA" w:rsidRDefault="006E3DBA" w:rsidP="00353BAE">
            <w:pPr>
              <w:spacing w:after="60"/>
              <w:jc w:val="center"/>
              <w:rPr>
                <w:rFonts w:ascii="Arial" w:hAnsi="Arial" w:cs="Arial"/>
                <w:sz w:val="22"/>
                <w:szCs w:val="19"/>
              </w:rPr>
            </w:pPr>
            <w:r w:rsidRPr="006E3DBA">
              <w:rPr>
                <w:rFonts w:ascii="Arial" w:hAnsi="Arial" w:cs="Arial"/>
                <w:sz w:val="22"/>
                <w:szCs w:val="19"/>
              </w:rPr>
              <w:t>1 in 100</w:t>
            </w:r>
          </w:p>
        </w:tc>
        <w:tc>
          <w:tcPr>
            <w:tcW w:w="1567" w:type="dxa"/>
            <w:shd w:val="clear" w:color="auto" w:fill="F3F0F6"/>
            <w:vAlign w:val="center"/>
          </w:tcPr>
          <w:p w:rsidR="006E3DBA" w:rsidRPr="006E3DBA" w:rsidRDefault="006E3DBA" w:rsidP="00353BAE">
            <w:pPr>
              <w:spacing w:after="60"/>
              <w:jc w:val="center"/>
              <w:rPr>
                <w:rFonts w:ascii="Arial" w:hAnsi="Arial" w:cs="Arial"/>
                <w:sz w:val="22"/>
                <w:szCs w:val="19"/>
              </w:rPr>
            </w:pPr>
            <w:r w:rsidRPr="006E3DBA">
              <w:rPr>
                <w:rFonts w:ascii="Arial" w:hAnsi="Arial" w:cs="Arial"/>
                <w:sz w:val="22"/>
                <w:szCs w:val="19"/>
              </w:rPr>
              <w:t>1 in 1000</w:t>
            </w:r>
          </w:p>
        </w:tc>
        <w:tc>
          <w:tcPr>
            <w:tcW w:w="1567" w:type="dxa"/>
            <w:shd w:val="clear" w:color="auto" w:fill="F3F0F6"/>
            <w:vAlign w:val="center"/>
          </w:tcPr>
          <w:p w:rsidR="006E3DBA" w:rsidRPr="006E3DBA" w:rsidRDefault="006E3DBA" w:rsidP="00353BAE">
            <w:pPr>
              <w:spacing w:after="60"/>
              <w:jc w:val="center"/>
              <w:rPr>
                <w:rFonts w:ascii="Arial" w:hAnsi="Arial" w:cs="Arial"/>
                <w:sz w:val="22"/>
                <w:szCs w:val="19"/>
              </w:rPr>
            </w:pPr>
            <w:r w:rsidRPr="006E3DBA">
              <w:rPr>
                <w:rFonts w:ascii="Arial" w:hAnsi="Arial" w:cs="Arial"/>
                <w:sz w:val="22"/>
                <w:szCs w:val="19"/>
              </w:rPr>
              <w:t>1 in 10,000</w:t>
            </w:r>
          </w:p>
        </w:tc>
        <w:tc>
          <w:tcPr>
            <w:tcW w:w="1567" w:type="dxa"/>
            <w:shd w:val="clear" w:color="auto" w:fill="F3F0F6"/>
            <w:vAlign w:val="center"/>
          </w:tcPr>
          <w:p w:rsidR="006E3DBA" w:rsidRPr="006E3DBA" w:rsidRDefault="006E3DBA" w:rsidP="00353BAE">
            <w:pPr>
              <w:spacing w:after="60"/>
              <w:jc w:val="center"/>
              <w:rPr>
                <w:rFonts w:ascii="Arial" w:hAnsi="Arial" w:cs="Arial"/>
                <w:sz w:val="22"/>
                <w:szCs w:val="19"/>
              </w:rPr>
            </w:pPr>
            <w:r w:rsidRPr="006E3DBA">
              <w:rPr>
                <w:rFonts w:ascii="Arial" w:hAnsi="Arial" w:cs="Arial"/>
                <w:sz w:val="22"/>
                <w:szCs w:val="19"/>
              </w:rPr>
              <w:t>1 in 100,000</w:t>
            </w:r>
          </w:p>
        </w:tc>
      </w:tr>
      <w:tr w:rsidR="006E3DBA" w:rsidRPr="006E3DBA" w:rsidTr="00353BAE">
        <w:trPr>
          <w:jc w:val="center"/>
        </w:trPr>
        <w:tc>
          <w:tcPr>
            <w:tcW w:w="1566" w:type="dxa"/>
            <w:shd w:val="clear" w:color="auto" w:fill="F3F0F6"/>
            <w:vAlign w:val="center"/>
          </w:tcPr>
          <w:p w:rsidR="006E3DBA" w:rsidRPr="006E3DBA" w:rsidRDefault="006E3DBA" w:rsidP="00353BAE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19"/>
              </w:rPr>
            </w:pPr>
            <w:r w:rsidRPr="006E3DBA">
              <w:rPr>
                <w:rFonts w:ascii="Arial" w:hAnsi="Arial" w:cs="Arial"/>
                <w:b/>
                <w:sz w:val="22"/>
                <w:szCs w:val="19"/>
              </w:rPr>
              <w:t>Frequency</w:t>
            </w:r>
          </w:p>
        </w:tc>
        <w:tc>
          <w:tcPr>
            <w:tcW w:w="1566" w:type="dxa"/>
            <w:shd w:val="clear" w:color="auto" w:fill="F3F0F6"/>
            <w:vAlign w:val="center"/>
          </w:tcPr>
          <w:p w:rsidR="006E3DBA" w:rsidRPr="006E3DBA" w:rsidRDefault="006E3DBA" w:rsidP="00353BAE">
            <w:pPr>
              <w:spacing w:after="60"/>
              <w:jc w:val="center"/>
              <w:rPr>
                <w:rFonts w:ascii="Arial" w:hAnsi="Arial" w:cs="Arial"/>
                <w:sz w:val="22"/>
                <w:szCs w:val="19"/>
              </w:rPr>
            </w:pPr>
            <w:r w:rsidRPr="006E3DBA">
              <w:rPr>
                <w:rFonts w:ascii="Arial" w:hAnsi="Arial" w:cs="Arial"/>
                <w:sz w:val="22"/>
                <w:szCs w:val="19"/>
              </w:rPr>
              <w:t>Someone in your family</w:t>
            </w:r>
          </w:p>
        </w:tc>
        <w:tc>
          <w:tcPr>
            <w:tcW w:w="1567" w:type="dxa"/>
            <w:shd w:val="clear" w:color="auto" w:fill="F3F0F6"/>
            <w:vAlign w:val="center"/>
          </w:tcPr>
          <w:p w:rsidR="006E3DBA" w:rsidRPr="006E3DBA" w:rsidRDefault="006E3DBA" w:rsidP="00353BAE">
            <w:pPr>
              <w:spacing w:after="60"/>
              <w:jc w:val="center"/>
              <w:rPr>
                <w:rFonts w:ascii="Arial" w:hAnsi="Arial" w:cs="Arial"/>
                <w:sz w:val="22"/>
                <w:szCs w:val="19"/>
              </w:rPr>
            </w:pPr>
            <w:r w:rsidRPr="006E3DBA">
              <w:rPr>
                <w:rFonts w:ascii="Arial" w:hAnsi="Arial" w:cs="Arial"/>
                <w:sz w:val="22"/>
                <w:szCs w:val="19"/>
              </w:rPr>
              <w:t>Someone in a street</w:t>
            </w:r>
          </w:p>
        </w:tc>
        <w:tc>
          <w:tcPr>
            <w:tcW w:w="1567" w:type="dxa"/>
            <w:shd w:val="clear" w:color="auto" w:fill="F3F0F6"/>
            <w:vAlign w:val="center"/>
          </w:tcPr>
          <w:p w:rsidR="006E3DBA" w:rsidRPr="006E3DBA" w:rsidRDefault="006E3DBA" w:rsidP="00353BAE">
            <w:pPr>
              <w:spacing w:after="60"/>
              <w:jc w:val="center"/>
              <w:rPr>
                <w:rFonts w:ascii="Arial" w:hAnsi="Arial" w:cs="Arial"/>
                <w:sz w:val="22"/>
                <w:szCs w:val="19"/>
              </w:rPr>
            </w:pPr>
            <w:r w:rsidRPr="006E3DBA">
              <w:rPr>
                <w:rFonts w:ascii="Arial" w:hAnsi="Arial" w:cs="Arial"/>
                <w:sz w:val="22"/>
                <w:szCs w:val="19"/>
              </w:rPr>
              <w:t>Someone in a village</w:t>
            </w:r>
          </w:p>
        </w:tc>
        <w:tc>
          <w:tcPr>
            <w:tcW w:w="1567" w:type="dxa"/>
            <w:shd w:val="clear" w:color="auto" w:fill="F3F0F6"/>
            <w:vAlign w:val="center"/>
          </w:tcPr>
          <w:p w:rsidR="006E3DBA" w:rsidRPr="006E3DBA" w:rsidRDefault="006E3DBA" w:rsidP="00353BAE">
            <w:pPr>
              <w:spacing w:after="60"/>
              <w:jc w:val="center"/>
              <w:rPr>
                <w:rFonts w:ascii="Arial" w:hAnsi="Arial" w:cs="Arial"/>
                <w:sz w:val="22"/>
                <w:szCs w:val="19"/>
              </w:rPr>
            </w:pPr>
            <w:r w:rsidRPr="006E3DBA">
              <w:rPr>
                <w:rFonts w:ascii="Arial" w:hAnsi="Arial" w:cs="Arial"/>
                <w:sz w:val="22"/>
                <w:szCs w:val="19"/>
              </w:rPr>
              <w:t>Someone in a small town</w:t>
            </w:r>
          </w:p>
        </w:tc>
        <w:tc>
          <w:tcPr>
            <w:tcW w:w="1567" w:type="dxa"/>
            <w:shd w:val="clear" w:color="auto" w:fill="F3F0F6"/>
            <w:vAlign w:val="center"/>
          </w:tcPr>
          <w:p w:rsidR="006E3DBA" w:rsidRPr="006E3DBA" w:rsidRDefault="006E3DBA" w:rsidP="00353BAE">
            <w:pPr>
              <w:spacing w:after="60"/>
              <w:jc w:val="center"/>
              <w:rPr>
                <w:rFonts w:ascii="Arial" w:hAnsi="Arial" w:cs="Arial"/>
                <w:sz w:val="22"/>
                <w:szCs w:val="19"/>
              </w:rPr>
            </w:pPr>
            <w:r w:rsidRPr="006E3DBA">
              <w:rPr>
                <w:rFonts w:ascii="Arial" w:hAnsi="Arial" w:cs="Arial"/>
                <w:sz w:val="22"/>
                <w:szCs w:val="19"/>
              </w:rPr>
              <w:t>Someone in a large town</w:t>
            </w:r>
          </w:p>
        </w:tc>
      </w:tr>
      <w:tr w:rsidR="006E3DBA" w:rsidRPr="006E3DBA" w:rsidTr="00353BAE">
        <w:trPr>
          <w:jc w:val="center"/>
        </w:trPr>
        <w:tc>
          <w:tcPr>
            <w:tcW w:w="1566" w:type="dxa"/>
            <w:shd w:val="clear" w:color="auto" w:fill="F3F0F6"/>
            <w:vAlign w:val="center"/>
          </w:tcPr>
          <w:p w:rsidR="006E3DBA" w:rsidRPr="006E3DBA" w:rsidRDefault="006E3DBA" w:rsidP="00353BAE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19"/>
              </w:rPr>
            </w:pPr>
            <w:r w:rsidRPr="006E3DBA">
              <w:rPr>
                <w:rFonts w:ascii="Arial" w:hAnsi="Arial" w:cs="Arial"/>
                <w:b/>
                <w:sz w:val="22"/>
                <w:szCs w:val="19"/>
              </w:rPr>
              <w:t>Illustration</w:t>
            </w:r>
          </w:p>
        </w:tc>
        <w:tc>
          <w:tcPr>
            <w:tcW w:w="1566" w:type="dxa"/>
            <w:shd w:val="clear" w:color="auto" w:fill="F3F0F6"/>
            <w:vAlign w:val="center"/>
          </w:tcPr>
          <w:p w:rsidR="006E3DBA" w:rsidRPr="006E3DBA" w:rsidRDefault="006E3DBA" w:rsidP="00353BAE">
            <w:pPr>
              <w:spacing w:after="60"/>
              <w:jc w:val="center"/>
              <w:rPr>
                <w:rFonts w:ascii="Arial" w:hAnsi="Arial" w:cs="Arial"/>
                <w:sz w:val="22"/>
                <w:szCs w:val="19"/>
              </w:rPr>
            </w:pPr>
            <w:r w:rsidRPr="006E3DBA">
              <w:rPr>
                <w:rFonts w:ascii="Arial" w:hAnsi="Arial" w:cs="Arial"/>
                <w:noProof/>
                <w:sz w:val="22"/>
                <w:lang w:eastAsia="en-GB"/>
              </w:rPr>
              <w:drawing>
                <wp:inline distT="0" distB="0" distL="0" distR="0" wp14:anchorId="5B17669F" wp14:editId="2BC8C7E4">
                  <wp:extent cx="859697" cy="533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risk images 2.jpg"/>
                          <pic:cNvPicPr/>
                        </pic:nvPicPr>
                        <pic:blipFill rotWithShape="1">
                          <a:blip r:embed="rId9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80147" cy="546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7" w:type="dxa"/>
            <w:shd w:val="clear" w:color="auto" w:fill="F3F0F6"/>
            <w:vAlign w:val="center"/>
          </w:tcPr>
          <w:p w:rsidR="006E3DBA" w:rsidRPr="006E3DBA" w:rsidRDefault="006E3DBA" w:rsidP="00353BAE">
            <w:pPr>
              <w:spacing w:after="60"/>
              <w:jc w:val="center"/>
              <w:rPr>
                <w:rFonts w:ascii="Arial" w:hAnsi="Arial" w:cs="Arial"/>
                <w:sz w:val="22"/>
                <w:szCs w:val="19"/>
              </w:rPr>
            </w:pPr>
            <w:r w:rsidRPr="006E3DBA">
              <w:rPr>
                <w:rFonts w:ascii="Arial" w:hAnsi="Arial" w:cs="Arial"/>
                <w:noProof/>
                <w:sz w:val="22"/>
                <w:lang w:eastAsia="en-GB"/>
              </w:rPr>
              <w:drawing>
                <wp:inline distT="0" distB="0" distL="0" distR="0" wp14:anchorId="50A93F68" wp14:editId="07F260DC">
                  <wp:extent cx="860400" cy="5436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risk images 2.jpg"/>
                          <pic:cNvPicPr/>
                        </pic:nvPicPr>
                        <pic:blipFill rotWithShape="1"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6316"/>
                          <a:stretch/>
                        </pic:blipFill>
                        <pic:spPr bwMode="auto">
                          <a:xfrm>
                            <a:off x="0" y="0"/>
                            <a:ext cx="860400" cy="54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7" w:type="dxa"/>
            <w:shd w:val="clear" w:color="auto" w:fill="F3F0F6"/>
            <w:vAlign w:val="center"/>
          </w:tcPr>
          <w:p w:rsidR="006E3DBA" w:rsidRPr="006E3DBA" w:rsidRDefault="006E3DBA" w:rsidP="00353BAE">
            <w:pPr>
              <w:spacing w:after="60"/>
              <w:jc w:val="center"/>
              <w:rPr>
                <w:rFonts w:ascii="Arial" w:hAnsi="Arial" w:cs="Arial"/>
                <w:sz w:val="22"/>
                <w:szCs w:val="19"/>
              </w:rPr>
            </w:pPr>
            <w:r w:rsidRPr="006E3DBA">
              <w:rPr>
                <w:rFonts w:ascii="Arial" w:hAnsi="Arial" w:cs="Arial"/>
                <w:noProof/>
                <w:sz w:val="22"/>
                <w:lang w:eastAsia="en-GB"/>
              </w:rPr>
              <w:drawing>
                <wp:inline distT="0" distB="0" distL="0" distR="0" wp14:anchorId="787A96DC" wp14:editId="11FA65F1">
                  <wp:extent cx="860400" cy="5256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isk images 2.jpg"/>
                          <pic:cNvPicPr/>
                        </pic:nvPicPr>
                        <pic:blipFill rotWithShape="1"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6518"/>
                          <a:stretch/>
                        </pic:blipFill>
                        <pic:spPr bwMode="auto">
                          <a:xfrm>
                            <a:off x="0" y="0"/>
                            <a:ext cx="860400" cy="525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7" w:type="dxa"/>
            <w:shd w:val="clear" w:color="auto" w:fill="F3F0F6"/>
            <w:vAlign w:val="center"/>
          </w:tcPr>
          <w:p w:rsidR="006E3DBA" w:rsidRPr="006E3DBA" w:rsidRDefault="006E3DBA" w:rsidP="00353BAE">
            <w:pPr>
              <w:spacing w:after="60"/>
              <w:jc w:val="center"/>
              <w:rPr>
                <w:rFonts w:ascii="Arial" w:hAnsi="Arial" w:cs="Arial"/>
                <w:sz w:val="22"/>
                <w:szCs w:val="19"/>
              </w:rPr>
            </w:pPr>
            <w:r w:rsidRPr="006E3DBA">
              <w:rPr>
                <w:rFonts w:ascii="Arial" w:hAnsi="Arial" w:cs="Arial"/>
                <w:noProof/>
                <w:sz w:val="22"/>
                <w:lang w:eastAsia="en-GB"/>
              </w:rPr>
              <w:drawing>
                <wp:inline distT="0" distB="0" distL="0" distR="0" wp14:anchorId="4E25974E" wp14:editId="132A737D">
                  <wp:extent cx="860400" cy="5400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isk images 2.jpg"/>
                          <pic:cNvPicPr/>
                        </pic:nvPicPr>
                        <pic:blipFill rotWithShape="1">
                          <a:blip r:embed="rId12"/>
                          <a:srcRect l="34124" t="30340" r="40669" b="41390"/>
                          <a:stretch/>
                        </pic:blipFill>
                        <pic:spPr bwMode="auto">
                          <a:xfrm>
                            <a:off x="0" y="0"/>
                            <a:ext cx="860400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7" w:type="dxa"/>
            <w:shd w:val="clear" w:color="auto" w:fill="F3F0F6"/>
            <w:vAlign w:val="center"/>
          </w:tcPr>
          <w:p w:rsidR="006E3DBA" w:rsidRPr="006E3DBA" w:rsidRDefault="006E3DBA" w:rsidP="00353BAE">
            <w:pPr>
              <w:spacing w:after="60"/>
              <w:jc w:val="center"/>
              <w:rPr>
                <w:rFonts w:ascii="Arial" w:hAnsi="Arial" w:cs="Arial"/>
                <w:sz w:val="22"/>
                <w:szCs w:val="19"/>
              </w:rPr>
            </w:pPr>
            <w:r w:rsidRPr="006E3DBA">
              <w:rPr>
                <w:rFonts w:ascii="Arial" w:hAnsi="Arial" w:cs="Arial"/>
                <w:noProof/>
                <w:sz w:val="22"/>
                <w:lang w:eastAsia="en-GB"/>
              </w:rPr>
              <w:drawing>
                <wp:inline distT="0" distB="0" distL="0" distR="0" wp14:anchorId="5E9D4851" wp14:editId="52EC3752">
                  <wp:extent cx="859789" cy="563271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risk images 2.jpg"/>
                          <pic:cNvPicPr/>
                        </pic:nvPicPr>
                        <pic:blipFill rotWithShape="1">
                          <a:blip r:embed="rId13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b="-1354"/>
                          <a:stretch/>
                        </pic:blipFill>
                        <pic:spPr bwMode="auto">
                          <a:xfrm>
                            <a:off x="0" y="0"/>
                            <a:ext cx="860400" cy="563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color w:val="000000"/>
          <w:sz w:val="24"/>
          <w:szCs w:val="24"/>
        </w:rPr>
        <w:t>Be aware that when thinking about your risk, the frequency stated above includes only people who take the drugs. For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E3DBA">
        <w:rPr>
          <w:rFonts w:ascii="Arial" w:hAnsi="Arial" w:cs="Arial"/>
          <w:color w:val="000000"/>
          <w:sz w:val="24"/>
          <w:szCs w:val="24"/>
        </w:rPr>
        <w:t xml:space="preserve">example, a risk of 1 in 100 means that, on average, there would be one case of MRONJ for </w:t>
      </w:r>
      <w:r>
        <w:rPr>
          <w:rFonts w:ascii="Arial" w:hAnsi="Arial" w:cs="Arial"/>
          <w:color w:val="000000"/>
          <w:sz w:val="24"/>
          <w:szCs w:val="24"/>
        </w:rPr>
        <w:t xml:space="preserve">every 100 patients who take the </w:t>
      </w:r>
      <w:r w:rsidRPr="006E3DBA">
        <w:rPr>
          <w:rFonts w:ascii="Arial" w:hAnsi="Arial" w:cs="Arial"/>
          <w:color w:val="000000"/>
          <w:sz w:val="24"/>
          <w:szCs w:val="24"/>
        </w:rPr>
        <w:t>drugs.</w:t>
      </w:r>
    </w:p>
    <w:p w:rsidR="00DA54CE" w:rsidRDefault="00DA54CE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6E3DBA">
        <w:rPr>
          <w:rFonts w:ascii="Arial" w:hAnsi="Arial" w:cs="Arial"/>
          <w:b/>
          <w:color w:val="000000"/>
          <w:sz w:val="24"/>
          <w:szCs w:val="24"/>
        </w:rPr>
        <w:lastRenderedPageBreak/>
        <w:t>Other resources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color w:val="000000"/>
          <w:sz w:val="24"/>
          <w:szCs w:val="24"/>
        </w:rPr>
        <w:t>You may find additional helpful information on the following websites:</w:t>
      </w:r>
    </w:p>
    <w:p w:rsid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DA54CE">
        <w:rPr>
          <w:rFonts w:ascii="Arial" w:hAnsi="Arial" w:cs="Arial"/>
          <w:b/>
          <w:color w:val="000000"/>
          <w:sz w:val="24"/>
          <w:szCs w:val="24"/>
        </w:rPr>
        <w:t>Cancer Research UK</w:t>
      </w:r>
      <w:r w:rsidRPr="006E3DBA">
        <w:rPr>
          <w:rFonts w:ascii="Arial" w:hAnsi="Arial" w:cs="Arial"/>
          <w:color w:val="000000"/>
          <w:sz w:val="24"/>
          <w:szCs w:val="24"/>
        </w:rPr>
        <w:t xml:space="preserve"> (</w:t>
      </w:r>
      <w:hyperlink r:id="rId14" w:history="1">
        <w:r w:rsidRPr="007E3E20">
          <w:rPr>
            <w:rStyle w:val="Hyperlink"/>
            <w:rFonts w:ascii="Arial" w:hAnsi="Arial" w:cs="Arial"/>
            <w:sz w:val="24"/>
            <w:szCs w:val="24"/>
          </w:rPr>
          <w:t>www.cancerresearchuk.org</w:t>
        </w:r>
      </w:hyperlink>
      <w:r w:rsidRPr="006E3DBA">
        <w:rPr>
          <w:rFonts w:ascii="Arial" w:hAnsi="Arial" w:cs="Arial"/>
          <w:color w:val="000000"/>
          <w:sz w:val="24"/>
          <w:szCs w:val="24"/>
        </w:rPr>
        <w:t xml:space="preserve">) </w:t>
      </w:r>
    </w:p>
    <w:p w:rsid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DA54CE">
        <w:rPr>
          <w:rFonts w:ascii="Arial" w:hAnsi="Arial" w:cs="Arial"/>
          <w:b/>
          <w:color w:val="000000"/>
          <w:sz w:val="24"/>
          <w:szCs w:val="24"/>
        </w:rPr>
        <w:t>Myeloma UK</w:t>
      </w:r>
      <w:r w:rsidRPr="006E3DBA">
        <w:rPr>
          <w:rFonts w:ascii="Arial" w:hAnsi="Arial" w:cs="Arial"/>
          <w:color w:val="000000"/>
          <w:sz w:val="24"/>
          <w:szCs w:val="24"/>
        </w:rPr>
        <w:t xml:space="preserve"> (</w:t>
      </w:r>
      <w:hyperlink r:id="rId15" w:history="1">
        <w:r w:rsidRPr="007E3E20">
          <w:rPr>
            <w:rStyle w:val="Hyperlink"/>
            <w:rFonts w:ascii="Arial" w:hAnsi="Arial" w:cs="Arial"/>
            <w:sz w:val="24"/>
            <w:szCs w:val="24"/>
          </w:rPr>
          <w:t>www.myeloma.org.uk</w:t>
        </w:r>
      </w:hyperlink>
      <w:r w:rsidRPr="006E3DBA">
        <w:rPr>
          <w:rFonts w:ascii="Arial" w:hAnsi="Arial" w:cs="Arial"/>
          <w:color w:val="000000"/>
          <w:sz w:val="24"/>
          <w:szCs w:val="24"/>
        </w:rPr>
        <w:t xml:space="preserve">) </w:t>
      </w:r>
    </w:p>
    <w:p w:rsid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DA54CE">
        <w:rPr>
          <w:rFonts w:ascii="Arial" w:hAnsi="Arial" w:cs="Arial"/>
          <w:b/>
          <w:color w:val="000000"/>
          <w:sz w:val="24"/>
          <w:szCs w:val="24"/>
        </w:rPr>
        <w:t>Prostate Cancer UK</w:t>
      </w:r>
      <w:r w:rsidRPr="006E3DB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(www.prostatecanceruk.org)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DA54CE">
        <w:rPr>
          <w:rFonts w:ascii="Arial" w:hAnsi="Arial" w:cs="Arial"/>
          <w:b/>
          <w:color w:val="000000"/>
          <w:sz w:val="24"/>
          <w:szCs w:val="24"/>
        </w:rPr>
        <w:t>Breast Cancer Care</w:t>
      </w:r>
      <w:r w:rsidRPr="006E3DBA">
        <w:rPr>
          <w:rFonts w:ascii="Arial" w:hAnsi="Arial" w:cs="Arial"/>
          <w:color w:val="000000"/>
          <w:sz w:val="24"/>
          <w:szCs w:val="24"/>
        </w:rPr>
        <w:t xml:space="preserve"> (www.breastcancercare.org.uk)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color w:val="000000"/>
          <w:sz w:val="24"/>
          <w:szCs w:val="24"/>
        </w:rPr>
        <w:t>This leaflet has been developed by the Scottish Dental Clinical Effectiveness Programme (SD</w:t>
      </w:r>
      <w:r>
        <w:rPr>
          <w:rFonts w:ascii="Arial" w:hAnsi="Arial" w:cs="Arial"/>
          <w:color w:val="000000"/>
          <w:sz w:val="24"/>
          <w:szCs w:val="24"/>
        </w:rPr>
        <w:t xml:space="preserve">CEP), part of NHS Education for </w:t>
      </w:r>
      <w:r w:rsidRPr="006E3DBA">
        <w:rPr>
          <w:rFonts w:ascii="Arial" w:hAnsi="Arial" w:cs="Arial"/>
          <w:color w:val="000000"/>
          <w:sz w:val="24"/>
          <w:szCs w:val="24"/>
        </w:rPr>
        <w:t>Scotland. This and other patient information is available on the SDCEP website (www.sdcep.org.uk).</w:t>
      </w:r>
    </w:p>
    <w:p w:rsidR="006E3DBA" w:rsidRPr="006E3DBA" w:rsidRDefault="006E3DBA" w:rsidP="006E3DB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E3DBA">
        <w:rPr>
          <w:rFonts w:ascii="Arial" w:hAnsi="Arial" w:cs="Arial"/>
          <w:color w:val="000000"/>
          <w:sz w:val="24"/>
          <w:szCs w:val="24"/>
        </w:rPr>
        <w:t>© Scottish Dental Clinical Effectiveness Programme.</w:t>
      </w:r>
    </w:p>
    <w:p w:rsidR="006E3DBA" w:rsidRPr="006E3DBA" w:rsidRDefault="006E3DBA" w:rsidP="006E3DBA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sectPr w:rsidR="006E3DBA" w:rsidRPr="006E3DBA" w:rsidSect="00DA54CE">
      <w:footerReference w:type="default" r:id="rId16"/>
      <w:pgSz w:w="11906" w:h="16838"/>
      <w:pgMar w:top="1247" w:right="1361" w:bottom="720" w:left="136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F20" w:rsidRDefault="00982F20" w:rsidP="006E3DBA">
      <w:pPr>
        <w:spacing w:after="0" w:line="240" w:lineRule="auto"/>
      </w:pPr>
      <w:r>
        <w:separator/>
      </w:r>
    </w:p>
  </w:endnote>
  <w:endnote w:type="continuationSeparator" w:id="0">
    <w:p w:rsidR="00982F20" w:rsidRDefault="00982F20" w:rsidP="006E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60325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3DBA" w:rsidRDefault="006E3D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4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3DBA" w:rsidRDefault="006E3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F20" w:rsidRDefault="00982F20" w:rsidP="006E3DBA">
      <w:pPr>
        <w:spacing w:after="0" w:line="240" w:lineRule="auto"/>
      </w:pPr>
      <w:r>
        <w:separator/>
      </w:r>
    </w:p>
  </w:footnote>
  <w:footnote w:type="continuationSeparator" w:id="0">
    <w:p w:rsidR="00982F20" w:rsidRDefault="00982F20" w:rsidP="006E3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53C5"/>
    <w:multiLevelType w:val="hybridMultilevel"/>
    <w:tmpl w:val="08308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87870"/>
    <w:multiLevelType w:val="hybridMultilevel"/>
    <w:tmpl w:val="5D46C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884"/>
    <w:multiLevelType w:val="hybridMultilevel"/>
    <w:tmpl w:val="7CAEB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DBA"/>
    <w:rsid w:val="00526471"/>
    <w:rsid w:val="006E3DBA"/>
    <w:rsid w:val="00982F20"/>
    <w:rsid w:val="00D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81DBB"/>
  <w15:chartTrackingRefBased/>
  <w15:docId w15:val="{168ADB5E-FC00-41AD-BD1C-5F655575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26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3D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D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DBA"/>
  </w:style>
  <w:style w:type="paragraph" w:styleId="Footer">
    <w:name w:val="footer"/>
    <w:basedOn w:val="Normal"/>
    <w:link w:val="FooterChar"/>
    <w:uiPriority w:val="99"/>
    <w:unhideWhenUsed/>
    <w:rsid w:val="006E3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myeloma.org.uk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cancerresearch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Rutherford</dc:creator>
  <cp:keywords/>
  <dc:description/>
  <cp:lastModifiedBy>Samantha Rutherford</cp:lastModifiedBy>
  <cp:revision>1</cp:revision>
  <dcterms:created xsi:type="dcterms:W3CDTF">2017-04-04T11:52:00Z</dcterms:created>
  <dcterms:modified xsi:type="dcterms:W3CDTF">2017-04-04T12:06:00Z</dcterms:modified>
</cp:coreProperties>
</file>