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A" w:rsidRPr="00E217A8" w:rsidRDefault="00DA54CE">
      <w:pPr>
        <w:rPr>
          <w:rFonts w:ascii="Arial" w:hAnsi="Arial" w:cs="Arial"/>
          <w:sz w:val="24"/>
          <w:szCs w:val="24"/>
        </w:rPr>
      </w:pPr>
      <w:r w:rsidRPr="00E217A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-287020</wp:posOffset>
            </wp:positionV>
            <wp:extent cx="4055110" cy="1017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CEP.purpl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7" b="28138"/>
                    <a:stretch/>
                  </pic:blipFill>
                  <pic:spPr bwMode="auto">
                    <a:xfrm>
                      <a:off x="0" y="0"/>
                      <a:ext cx="4055110" cy="101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7A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-429895</wp:posOffset>
            </wp:positionV>
            <wp:extent cx="1439545" cy="1439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S Logo 2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DBA" w:rsidRPr="00E217A8" w:rsidRDefault="006E3DBA">
      <w:pPr>
        <w:rPr>
          <w:rFonts w:ascii="Arial" w:hAnsi="Arial" w:cs="Arial"/>
          <w:sz w:val="24"/>
          <w:szCs w:val="24"/>
        </w:rPr>
      </w:pPr>
    </w:p>
    <w:p w:rsidR="00526471" w:rsidRPr="00E217A8" w:rsidRDefault="00526471">
      <w:pPr>
        <w:rPr>
          <w:rFonts w:ascii="Arial" w:hAnsi="Arial" w:cs="Arial"/>
          <w:sz w:val="24"/>
          <w:szCs w:val="24"/>
        </w:rPr>
      </w:pPr>
    </w:p>
    <w:p w:rsidR="002D0441" w:rsidRPr="002D0441" w:rsidRDefault="002D0441" w:rsidP="002D0441">
      <w:pPr>
        <w:autoSpaceDE w:val="0"/>
        <w:autoSpaceDN w:val="0"/>
        <w:adjustRightInd w:val="0"/>
        <w:spacing w:before="360" w:after="120" w:line="360" w:lineRule="auto"/>
        <w:rPr>
          <w:rFonts w:ascii="Arial" w:hAnsi="Arial" w:cs="Arial"/>
          <w:b/>
          <w:sz w:val="28"/>
          <w:szCs w:val="24"/>
        </w:rPr>
      </w:pPr>
      <w:r w:rsidRPr="002D0441">
        <w:rPr>
          <w:rFonts w:ascii="Arial" w:hAnsi="Arial" w:cs="Arial"/>
          <w:b/>
          <w:sz w:val="28"/>
          <w:szCs w:val="24"/>
        </w:rPr>
        <w:t>Guid</w:t>
      </w:r>
      <w:r w:rsidR="00BD5752">
        <w:rPr>
          <w:rFonts w:ascii="Arial" w:hAnsi="Arial" w:cs="Arial"/>
          <w:b/>
          <w:sz w:val="28"/>
          <w:szCs w:val="24"/>
        </w:rPr>
        <w:t>a</w:t>
      </w:r>
      <w:r w:rsidRPr="002D0441">
        <w:rPr>
          <w:rFonts w:ascii="Arial" w:hAnsi="Arial" w:cs="Arial"/>
          <w:b/>
          <w:sz w:val="28"/>
          <w:szCs w:val="24"/>
        </w:rPr>
        <w:t xml:space="preserve">nce for Prescribers </w:t>
      </w:r>
      <w:r w:rsidR="00BD5752">
        <w:rPr>
          <w:rFonts w:ascii="Arial" w:hAnsi="Arial" w:cs="Arial"/>
          <w:b/>
          <w:sz w:val="28"/>
          <w:szCs w:val="24"/>
        </w:rPr>
        <w:t>a</w:t>
      </w:r>
      <w:r w:rsidRPr="002D0441">
        <w:rPr>
          <w:rFonts w:ascii="Arial" w:hAnsi="Arial" w:cs="Arial"/>
          <w:b/>
          <w:sz w:val="28"/>
          <w:szCs w:val="24"/>
        </w:rPr>
        <w:t>nd Dispensers of Anti-resorptive or Anti-</w:t>
      </w:r>
      <w:r w:rsidR="00BD5752">
        <w:rPr>
          <w:rFonts w:ascii="Arial" w:hAnsi="Arial" w:cs="Arial"/>
          <w:b/>
          <w:sz w:val="28"/>
          <w:szCs w:val="24"/>
        </w:rPr>
        <w:t>a</w:t>
      </w:r>
      <w:r w:rsidRPr="002D0441">
        <w:rPr>
          <w:rFonts w:ascii="Arial" w:hAnsi="Arial" w:cs="Arial"/>
          <w:b/>
          <w:sz w:val="28"/>
          <w:szCs w:val="24"/>
        </w:rPr>
        <w:t>n</w:t>
      </w:r>
      <w:r w:rsidR="00BD5752">
        <w:rPr>
          <w:rFonts w:ascii="Arial" w:hAnsi="Arial" w:cs="Arial"/>
          <w:b/>
          <w:sz w:val="28"/>
          <w:szCs w:val="24"/>
        </w:rPr>
        <w:t>giogenic Drug</w:t>
      </w:r>
      <w:r w:rsidRPr="002D0441">
        <w:rPr>
          <w:rFonts w:ascii="Arial" w:hAnsi="Arial" w:cs="Arial"/>
          <w:b/>
          <w:sz w:val="28"/>
          <w:szCs w:val="24"/>
        </w:rPr>
        <w:t>s</w:t>
      </w:r>
    </w:p>
    <w:p w:rsidR="002D0441" w:rsidRPr="002D0441" w:rsidRDefault="002D0441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0441">
        <w:rPr>
          <w:rFonts w:ascii="Arial" w:hAnsi="Arial" w:cs="Arial"/>
          <w:sz w:val="24"/>
          <w:szCs w:val="24"/>
        </w:rPr>
        <w:t xml:space="preserve">You will be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ware that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nti-resorptive or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nti-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</w:t>
      </w:r>
      <w:r w:rsidR="00BD5752">
        <w:rPr>
          <w:rFonts w:ascii="Arial" w:hAnsi="Arial" w:cs="Arial"/>
          <w:sz w:val="24"/>
          <w:szCs w:val="24"/>
        </w:rPr>
        <w:t>giog</w:t>
      </w:r>
      <w:r w:rsidRPr="002D0441">
        <w:rPr>
          <w:rFonts w:ascii="Arial" w:hAnsi="Arial" w:cs="Arial"/>
          <w:sz w:val="24"/>
          <w:szCs w:val="24"/>
        </w:rPr>
        <w:t>enic ther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py involves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 sm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ll incre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sed risk of medic</w:t>
      </w:r>
      <w:r w:rsidR="00BD5752">
        <w:rPr>
          <w:rFonts w:ascii="Arial" w:hAnsi="Arial" w:cs="Arial"/>
          <w:sz w:val="24"/>
          <w:szCs w:val="24"/>
        </w:rPr>
        <w:t xml:space="preserve">ation-related </w:t>
      </w:r>
      <w:r w:rsidRPr="002D0441">
        <w:rPr>
          <w:rFonts w:ascii="Arial" w:hAnsi="Arial" w:cs="Arial"/>
          <w:sz w:val="24"/>
          <w:szCs w:val="24"/>
        </w:rPr>
        <w:t>osteonecrosis of the j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w (MRONJ)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nd that p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tients should m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int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in 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ood or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 he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lth to minimise this risk.</w:t>
      </w:r>
    </w:p>
    <w:p w:rsidR="002D0441" w:rsidRPr="002D0441" w:rsidRDefault="002D0441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0441">
        <w:rPr>
          <w:rFonts w:ascii="Arial" w:hAnsi="Arial" w:cs="Arial"/>
          <w:sz w:val="24"/>
          <w:szCs w:val="24"/>
        </w:rPr>
        <w:t>P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tients who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re bein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 xml:space="preserve"> prescribed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nti-resorptive or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nti-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io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enic dru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s for the m</w:t>
      </w:r>
      <w:r w:rsidR="00BD5752">
        <w:rPr>
          <w:rFonts w:ascii="Arial" w:hAnsi="Arial" w:cs="Arial"/>
          <w:sz w:val="24"/>
          <w:szCs w:val="24"/>
        </w:rPr>
        <w:t xml:space="preserve">anagement of cancer should </w:t>
      </w:r>
      <w:r w:rsidRPr="002D0441">
        <w:rPr>
          <w:rFonts w:ascii="Arial" w:hAnsi="Arial" w:cs="Arial"/>
          <w:sz w:val="24"/>
          <w:szCs w:val="24"/>
        </w:rPr>
        <w:t>prefer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bly under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o a thorou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h dent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l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ssessment, with remedi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 dent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 tre</w:t>
      </w:r>
      <w:r w:rsidR="00BD5752">
        <w:rPr>
          <w:rFonts w:ascii="Arial" w:hAnsi="Arial" w:cs="Arial"/>
          <w:sz w:val="24"/>
          <w:szCs w:val="24"/>
        </w:rPr>
        <w:t xml:space="preserve">atment where required, prior to </w:t>
      </w:r>
      <w:r w:rsidRPr="002D0441">
        <w:rPr>
          <w:rFonts w:ascii="Arial" w:hAnsi="Arial" w:cs="Arial"/>
          <w:sz w:val="24"/>
          <w:szCs w:val="24"/>
        </w:rPr>
        <w:t>commencement of the dru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 xml:space="preserve"> ther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py.</w:t>
      </w:r>
    </w:p>
    <w:p w:rsidR="002D0441" w:rsidRDefault="002D0441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0441">
        <w:rPr>
          <w:rFonts w:ascii="Arial" w:hAnsi="Arial" w:cs="Arial"/>
          <w:sz w:val="24"/>
          <w:szCs w:val="24"/>
        </w:rPr>
        <w:t xml:space="preserve">In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ddition, the bisphosphon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tes c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 cause d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m</w:t>
      </w:r>
      <w:r w:rsidR="00BD5752">
        <w:rPr>
          <w:rFonts w:ascii="Arial" w:hAnsi="Arial" w:cs="Arial"/>
          <w:sz w:val="24"/>
          <w:szCs w:val="24"/>
        </w:rPr>
        <w:t>ag</w:t>
      </w:r>
      <w:r w:rsidRPr="002D0441">
        <w:rPr>
          <w:rFonts w:ascii="Arial" w:hAnsi="Arial" w:cs="Arial"/>
          <w:sz w:val="24"/>
          <w:szCs w:val="24"/>
        </w:rPr>
        <w:t>e to the or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 mucos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 therefore it is import</w:t>
      </w:r>
      <w:r w:rsidR="00BD5752">
        <w:rPr>
          <w:rFonts w:ascii="Arial" w:hAnsi="Arial" w:cs="Arial"/>
          <w:sz w:val="24"/>
          <w:szCs w:val="24"/>
        </w:rPr>
        <w:t xml:space="preserve">ant that patients (or </w:t>
      </w:r>
      <w:r w:rsidRPr="002D0441">
        <w:rPr>
          <w:rFonts w:ascii="Arial" w:hAnsi="Arial" w:cs="Arial"/>
          <w:sz w:val="24"/>
          <w:szCs w:val="24"/>
        </w:rPr>
        <w:t>c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rers where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ppropri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te)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re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w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re of the need to follow the instructions for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dministr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tion of these dru</w:t>
      </w:r>
      <w:r w:rsidR="00BD5752">
        <w:rPr>
          <w:rFonts w:ascii="Arial" w:hAnsi="Arial" w:cs="Arial"/>
          <w:sz w:val="24"/>
          <w:szCs w:val="24"/>
        </w:rPr>
        <w:t>g</w:t>
      </w:r>
      <w:r w:rsidRPr="002D0441">
        <w:rPr>
          <w:rFonts w:ascii="Arial" w:hAnsi="Arial" w:cs="Arial"/>
          <w:sz w:val="24"/>
          <w:szCs w:val="24"/>
        </w:rPr>
        <w:t>s.</w:t>
      </w:r>
    </w:p>
    <w:p w:rsidR="00BD5752" w:rsidRPr="00BD5752" w:rsidRDefault="00BD5752" w:rsidP="00BD57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At the commencement of treatment with anti-resorptive or anti-angiogenic drugs, advise the patient (or carer</w:t>
      </w:r>
      <w:r w:rsidRPr="00BD57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5752">
        <w:rPr>
          <w:rFonts w:ascii="Arial" w:hAnsi="Arial" w:cs="Arial"/>
          <w:color w:val="000000"/>
          <w:sz w:val="24"/>
          <w:szCs w:val="24"/>
        </w:rPr>
        <w:t>where appropriate):</w:t>
      </w:r>
    </w:p>
    <w:p w:rsidR="00BD5752" w:rsidRPr="00BD5752" w:rsidRDefault="00BD5752" w:rsidP="00BD575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That the medication they have just been given is associated with a small risk of MRONJ.</w:t>
      </w:r>
    </w:p>
    <w:p w:rsidR="00BD5752" w:rsidRPr="00BD5752" w:rsidRDefault="00BD5752" w:rsidP="00BD575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To make an appointment with a dentist as soon as possible to ensure they are dentally fit (this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5752">
        <w:rPr>
          <w:rFonts w:ascii="Arial" w:hAnsi="Arial" w:cs="Arial"/>
          <w:color w:val="000000"/>
          <w:sz w:val="24"/>
          <w:szCs w:val="24"/>
        </w:rPr>
        <w:t>includes patients who have dentures).</w:t>
      </w:r>
    </w:p>
    <w:p w:rsidR="00BD5752" w:rsidRPr="00BD5752" w:rsidRDefault="00BD5752" w:rsidP="00BD575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To tell their dentist that they are taking the medication.</w:t>
      </w:r>
    </w:p>
    <w:p w:rsidR="00BD5752" w:rsidRPr="00BD5752" w:rsidRDefault="00BD5752" w:rsidP="00BD575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Due to the risk of damage to the oral mucosa, advise patients who are prescribed an oral bisphosphonate not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5752">
        <w:rPr>
          <w:rFonts w:ascii="Arial" w:hAnsi="Arial" w:cs="Arial"/>
          <w:color w:val="000000"/>
          <w:sz w:val="24"/>
          <w:szCs w:val="24"/>
        </w:rPr>
        <w:t>to hold the tablet in the mouth and to follow the instructions for administration included in the drug information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D5752">
        <w:rPr>
          <w:rFonts w:ascii="Arial" w:hAnsi="Arial" w:cs="Arial"/>
          <w:color w:val="000000"/>
          <w:sz w:val="24"/>
          <w:szCs w:val="24"/>
        </w:rPr>
        <w:t>leaflet.</w:t>
      </w:r>
    </w:p>
    <w:p w:rsidR="00BD5752" w:rsidRPr="00BD5752" w:rsidRDefault="00BD5752" w:rsidP="00BD575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D5752">
        <w:rPr>
          <w:rFonts w:ascii="Arial" w:hAnsi="Arial" w:cs="Arial"/>
          <w:color w:val="000000"/>
          <w:sz w:val="24"/>
          <w:szCs w:val="24"/>
        </w:rPr>
        <w:t>Consider prescribing</w:t>
      </w:r>
      <w:r w:rsidRPr="00BD57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5752">
        <w:rPr>
          <w:rFonts w:ascii="Arial" w:hAnsi="Arial" w:cs="Arial"/>
          <w:sz w:val="24"/>
          <w:szCs w:val="24"/>
        </w:rPr>
        <w:t>alternatives to oral bisphosphonates for patients with a poor swallow reflex or</w:t>
      </w:r>
      <w:r>
        <w:rPr>
          <w:rFonts w:ascii="Arial" w:hAnsi="Arial" w:cs="Arial"/>
          <w:sz w:val="24"/>
          <w:szCs w:val="24"/>
        </w:rPr>
        <w:t xml:space="preserve"> </w:t>
      </w:r>
      <w:r w:rsidRPr="00BD5752">
        <w:rPr>
          <w:rFonts w:ascii="Arial" w:hAnsi="Arial" w:cs="Arial"/>
          <w:sz w:val="24"/>
          <w:szCs w:val="24"/>
        </w:rPr>
        <w:t>swallowing difficulties.</w:t>
      </w:r>
    </w:p>
    <w:p w:rsidR="00E217A8" w:rsidRDefault="002D0441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0441">
        <w:rPr>
          <w:rFonts w:ascii="Arial" w:hAnsi="Arial" w:cs="Arial"/>
          <w:sz w:val="24"/>
          <w:szCs w:val="24"/>
        </w:rPr>
        <w:t>If needed, inform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tion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bout how to find 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 xml:space="preserve"> dentist c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n be found at www.scottishdent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l.or</w:t>
      </w:r>
      <w:r w:rsidR="00BD5752">
        <w:rPr>
          <w:rFonts w:ascii="Arial" w:hAnsi="Arial" w:cs="Arial"/>
          <w:sz w:val="24"/>
          <w:szCs w:val="24"/>
        </w:rPr>
        <w:t xml:space="preserve">ɡ, or by phoning the </w:t>
      </w:r>
      <w:r w:rsidRPr="002D0441">
        <w:rPr>
          <w:rFonts w:ascii="Arial" w:hAnsi="Arial" w:cs="Arial"/>
          <w:sz w:val="24"/>
          <w:szCs w:val="24"/>
        </w:rPr>
        <w:t>loc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 NHS He</w:t>
      </w:r>
      <w:r w:rsidR="00BD5752">
        <w:rPr>
          <w:rFonts w:ascii="Arial" w:hAnsi="Arial" w:cs="Arial"/>
          <w:sz w:val="24"/>
          <w:szCs w:val="24"/>
        </w:rPr>
        <w:t>a</w:t>
      </w:r>
      <w:r w:rsidRPr="002D0441">
        <w:rPr>
          <w:rFonts w:ascii="Arial" w:hAnsi="Arial" w:cs="Arial"/>
          <w:sz w:val="24"/>
          <w:szCs w:val="24"/>
        </w:rPr>
        <w:t>lth Board.</w:t>
      </w:r>
    </w:p>
    <w:p w:rsidR="00BD5752" w:rsidRDefault="00BD5752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BD5752" w:rsidRDefault="00BD5752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BD5752" w:rsidRDefault="00BD5752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BD5752">
        <w:rPr>
          <w:rFonts w:ascii="Arial" w:hAnsi="Arial" w:cs="Arial"/>
          <w:b/>
          <w:bCs/>
          <w:sz w:val="28"/>
          <w:szCs w:val="28"/>
        </w:rPr>
        <w:lastRenderedPageBreak/>
        <w:t>Drugs Associated with MRONJ Prescribed in the United Kingdom*</w:t>
      </w:r>
    </w:p>
    <w:p w:rsidR="00172CFE" w:rsidRPr="00BD5752" w:rsidRDefault="00172CFE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2692"/>
        <w:gridCol w:w="4756"/>
      </w:tblGrid>
      <w:tr w:rsidR="00172CFE" w:rsidRPr="00172CFE" w:rsidTr="00353BAE">
        <w:trPr>
          <w:trHeight w:hRule="exact" w:val="510"/>
          <w:tblHeader/>
        </w:trPr>
        <w:tc>
          <w:tcPr>
            <w:tcW w:w="103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iCs/>
                <w:sz w:val="24"/>
                <w:szCs w:val="24"/>
              </w:rPr>
              <w:t>DrugType</w:t>
            </w:r>
            <w:proofErr w:type="spellEnd"/>
          </w:p>
        </w:tc>
        <w:tc>
          <w:tcPr>
            <w:tcW w:w="14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72CFE">
              <w:rPr>
                <w:rFonts w:ascii="Arial" w:hAnsi="Arial" w:cs="Arial"/>
                <w:iCs/>
                <w:sz w:val="24"/>
                <w:szCs w:val="24"/>
              </w:rPr>
              <w:t>Drug name</w:t>
            </w:r>
          </w:p>
        </w:tc>
        <w:tc>
          <w:tcPr>
            <w:tcW w:w="253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172CFE">
              <w:rPr>
                <w:rFonts w:ascii="Arial" w:hAnsi="Arial" w:cs="Arial"/>
                <w:iCs/>
                <w:sz w:val="24"/>
                <w:szCs w:val="24"/>
              </w:rPr>
              <w:t>Trade name(s)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alendronic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</w:rPr>
              <w:t xml:space="preserve"> acid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Binosto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>, Fosamax</w:t>
            </w:r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Fosavance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risedronate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</w:rPr>
              <w:t xml:space="preserve"> sodium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actonel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actonel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</w:rPr>
              <w:t xml:space="preserve"> Combi</w:t>
            </w:r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zoledronic acid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aclasta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Zometa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2CFE" w:rsidRPr="00172CFE" w:rsidTr="00353BAE">
        <w:trPr>
          <w:trHeight w:hRule="exact" w:val="1021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ibandronic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</w:rPr>
              <w:t xml:space="preserve"> acid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Bondronat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Bonviva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Iasibon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Quodixor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pamidronate disodium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aredia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Bisphosphonate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sodium clodronate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Bonefos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Clasteon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Loron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72CFE">
              <w:rPr>
                <w:rFonts w:ascii="Arial" w:hAnsi="Arial" w:cs="Arial"/>
                <w:sz w:val="24"/>
                <w:szCs w:val="24"/>
              </w:rPr>
              <w:t>NKL Inhibitor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denosumab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Prolia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Xgeva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anti-angiogenic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bevacizumab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avastin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Sutent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</w:p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Zaltrap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anti-angiogenic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sunitinib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Sutent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2CFE" w:rsidRPr="00172CFE" w:rsidTr="00353BAE">
        <w:trPr>
          <w:trHeight w:hRule="exact" w:val="510"/>
        </w:trPr>
        <w:tc>
          <w:tcPr>
            <w:tcW w:w="1038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anti-angiogenic</w:t>
            </w:r>
          </w:p>
        </w:tc>
        <w:tc>
          <w:tcPr>
            <w:tcW w:w="143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CFE">
              <w:rPr>
                <w:rFonts w:ascii="Arial" w:hAnsi="Arial" w:cs="Arial"/>
                <w:sz w:val="24"/>
                <w:szCs w:val="24"/>
              </w:rPr>
              <w:t>aflibercept</w:t>
            </w:r>
          </w:p>
        </w:tc>
        <w:tc>
          <w:tcPr>
            <w:tcW w:w="253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2CFE" w:rsidRPr="00172CFE" w:rsidRDefault="00172CFE" w:rsidP="00353B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2CFE">
              <w:rPr>
                <w:rFonts w:ascii="Arial" w:hAnsi="Arial" w:cs="Arial"/>
                <w:sz w:val="24"/>
                <w:szCs w:val="24"/>
              </w:rPr>
              <w:t>Zaltrap</w:t>
            </w:r>
            <w:proofErr w:type="spellEnd"/>
            <w:r w:rsidRPr="00172CFE">
              <w:rPr>
                <w:rFonts w:ascii="Arial" w:hAnsi="Arial" w:cs="Arial"/>
                <w:sz w:val="24"/>
                <w:szCs w:val="24"/>
                <w:vertAlign w:val="superscript"/>
              </w:rPr>
              <w:t>®</w:t>
            </w:r>
            <w:r w:rsidRPr="00172C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D5752" w:rsidRDefault="00BD5752" w:rsidP="002D044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BD5752" w:rsidRPr="00BD5752" w:rsidRDefault="00BD5752" w:rsidP="00B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BD5752">
        <w:rPr>
          <w:rFonts w:ascii="Arial" w:hAnsi="Arial" w:cs="Arial"/>
          <w:sz w:val="24"/>
          <w:szCs w:val="20"/>
        </w:rPr>
        <w:t>*Correct at the time of publication. This list is not exhaustive. Be aware that drug trade names can change and new drugs ma</w:t>
      </w:r>
      <w:r>
        <w:rPr>
          <w:rFonts w:ascii="Arial" w:hAnsi="Arial" w:cs="Arial"/>
          <w:sz w:val="24"/>
          <w:szCs w:val="20"/>
        </w:rPr>
        <w:t xml:space="preserve">y </w:t>
      </w:r>
      <w:r w:rsidRPr="00BD5752">
        <w:rPr>
          <w:rFonts w:ascii="Arial" w:hAnsi="Arial" w:cs="Arial"/>
          <w:sz w:val="24"/>
          <w:szCs w:val="20"/>
        </w:rPr>
        <w:t xml:space="preserve">be released that may be implicated in MRONJ. Consult the SDCEP website (www.sdcep.org.uk) for </w:t>
      </w:r>
      <w:r>
        <w:rPr>
          <w:rFonts w:ascii="Arial" w:hAnsi="Arial" w:cs="Arial"/>
          <w:sz w:val="24"/>
          <w:szCs w:val="20"/>
        </w:rPr>
        <w:t xml:space="preserve">an up-to-date list of the drugs </w:t>
      </w:r>
      <w:r w:rsidRPr="00BD5752">
        <w:rPr>
          <w:rFonts w:ascii="Arial" w:hAnsi="Arial" w:cs="Arial"/>
          <w:sz w:val="24"/>
          <w:szCs w:val="20"/>
        </w:rPr>
        <w:t>with an MHRA Drug Safety Update for risk of M</w:t>
      </w:r>
      <w:bookmarkStart w:id="0" w:name="_GoBack"/>
      <w:bookmarkEnd w:id="0"/>
      <w:r w:rsidRPr="00BD5752">
        <w:rPr>
          <w:rFonts w:ascii="Arial" w:hAnsi="Arial" w:cs="Arial"/>
          <w:sz w:val="24"/>
          <w:szCs w:val="20"/>
        </w:rPr>
        <w:t>RONJ.</w:t>
      </w:r>
    </w:p>
    <w:sectPr w:rsidR="00BD5752" w:rsidRPr="00BD5752" w:rsidSect="00DA54CE">
      <w:footerReference w:type="default" r:id="rId9"/>
      <w:pgSz w:w="11906" w:h="16838"/>
      <w:pgMar w:top="1247" w:right="1361" w:bottom="720" w:left="136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84" w:rsidRDefault="00827584" w:rsidP="006E3DBA">
      <w:pPr>
        <w:spacing w:after="0" w:line="240" w:lineRule="auto"/>
      </w:pPr>
      <w:r>
        <w:separator/>
      </w:r>
    </w:p>
  </w:endnote>
  <w:endnote w:type="continuationSeparator" w:id="0">
    <w:p w:rsidR="00827584" w:rsidRDefault="00827584" w:rsidP="006E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032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DBA" w:rsidRDefault="006E3D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C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3DBA" w:rsidRDefault="006E3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84" w:rsidRDefault="00827584" w:rsidP="006E3DBA">
      <w:pPr>
        <w:spacing w:after="0" w:line="240" w:lineRule="auto"/>
      </w:pPr>
      <w:r>
        <w:separator/>
      </w:r>
    </w:p>
  </w:footnote>
  <w:footnote w:type="continuationSeparator" w:id="0">
    <w:p w:rsidR="00827584" w:rsidRDefault="00827584" w:rsidP="006E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50B"/>
    <w:multiLevelType w:val="hybridMultilevel"/>
    <w:tmpl w:val="95A6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08B"/>
    <w:multiLevelType w:val="hybridMultilevel"/>
    <w:tmpl w:val="F1D6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53C5"/>
    <w:multiLevelType w:val="hybridMultilevel"/>
    <w:tmpl w:val="0830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7870"/>
    <w:multiLevelType w:val="hybridMultilevel"/>
    <w:tmpl w:val="5D46C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D23"/>
    <w:multiLevelType w:val="hybridMultilevel"/>
    <w:tmpl w:val="A562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65A48"/>
    <w:multiLevelType w:val="hybridMultilevel"/>
    <w:tmpl w:val="73AC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B7884"/>
    <w:multiLevelType w:val="hybridMultilevel"/>
    <w:tmpl w:val="7CAE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DBA"/>
    <w:rsid w:val="00172CFE"/>
    <w:rsid w:val="002D0441"/>
    <w:rsid w:val="00526471"/>
    <w:rsid w:val="006E3DBA"/>
    <w:rsid w:val="00827584"/>
    <w:rsid w:val="00BD5752"/>
    <w:rsid w:val="00C1048E"/>
    <w:rsid w:val="00DA54CE"/>
    <w:rsid w:val="00E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7550"/>
  <w15:chartTrackingRefBased/>
  <w15:docId w15:val="{168ADB5E-FC00-41AD-BD1C-5F655575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D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DBA"/>
  </w:style>
  <w:style w:type="paragraph" w:styleId="Footer">
    <w:name w:val="footer"/>
    <w:basedOn w:val="Normal"/>
    <w:link w:val="FooterChar"/>
    <w:uiPriority w:val="99"/>
    <w:unhideWhenUsed/>
    <w:rsid w:val="006E3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Rutherford</dc:creator>
  <cp:keywords/>
  <dc:description/>
  <cp:lastModifiedBy>Samantha Rutherford</cp:lastModifiedBy>
  <cp:revision>4</cp:revision>
  <dcterms:created xsi:type="dcterms:W3CDTF">2017-04-04T12:57:00Z</dcterms:created>
  <dcterms:modified xsi:type="dcterms:W3CDTF">2017-04-04T13:10:00Z</dcterms:modified>
</cp:coreProperties>
</file>