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5952" w14:textId="72AB1000" w:rsidR="00A47927" w:rsidRPr="00BA2E3B" w:rsidRDefault="00BA2E3B" w:rsidP="00A47927">
      <w:pPr>
        <w:rPr>
          <w:rStyle w:val="Hyperlink"/>
          <w:i/>
          <w:color w:val="548DD4"/>
          <w:u w:val="none"/>
        </w:rPr>
      </w:pPr>
      <w:bookmarkStart w:id="0" w:name="_GoBack"/>
      <w:bookmarkEnd w:id="0"/>
      <w:r>
        <w:rPr>
          <w:noProof/>
        </w:rPr>
        <w:pict w14:anchorId="1F238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93.2pt;margin-top:-19.1pt;width:224.85pt;height:51.65pt;z-index:-1;mso-position-horizontal-relative:text;mso-position-vertical-relative:text">
            <v:imagedata r:id="rId7" o:title="SDCEP"/>
          </v:shape>
        </w:pict>
      </w:r>
      <w:r w:rsidRPr="00BA2E3B">
        <w:rPr>
          <w:color w:val="548DD4"/>
        </w:rPr>
        <w:pict w14:anchorId="27702D7E">
          <v:shape id="Picture 1" o:spid="_x0000_s1030" type="#_x0000_t75" style="position:absolute;margin-left:-15.05pt;margin-top:-40.7pt;width:85.5pt;height:87.7pt;z-index:-2;visibility:visible;mso-wrap-style:square;mso-wrap-distance-left:9pt;mso-wrap-distance-top:0;mso-wrap-distance-right:9pt;mso-wrap-distance-bottom:0;mso-position-horizontal:absolute;mso-position-horizontal-relative:text;mso-position-vertical-relative:text">
            <v:imagedata r:id="rId8" o:title="NES Logo - White Background" chromakey="#fffefc"/>
          </v:shape>
        </w:pict>
      </w:r>
    </w:p>
    <w:p w14:paraId="27702D66" w14:textId="558CAC90" w:rsidR="00036448" w:rsidRPr="00036448" w:rsidRDefault="00036448" w:rsidP="00036448">
      <w:r w:rsidRPr="00036448">
        <w:tab/>
      </w:r>
    </w:p>
    <w:p w14:paraId="32C254F9" w14:textId="6D4CE60D" w:rsidR="00220FB9" w:rsidRPr="00220FB9" w:rsidRDefault="00220FB9" w:rsidP="00220FB9">
      <w:pPr>
        <w:pStyle w:val="Heading1"/>
        <w:rPr>
          <w:color w:val="018752"/>
        </w:rPr>
      </w:pPr>
      <w:bookmarkStart w:id="1" w:name="_Toc395988956"/>
      <w:r w:rsidRPr="00220FB9">
        <w:rPr>
          <w:color w:val="018752"/>
        </w:rPr>
        <w:t>Points to Cover During Antibiotic Prophylaxis Discussion with Patient</w:t>
      </w:r>
      <w:bookmarkEnd w:id="1"/>
    </w:p>
    <w:p w14:paraId="6442A8C0" w14:textId="77777777" w:rsidR="00220FB9" w:rsidRPr="00A3640B" w:rsidRDefault="00220FB9" w:rsidP="00220FB9">
      <w:pPr>
        <w:pStyle w:val="Paragraph"/>
        <w:rPr>
          <w:b/>
        </w:rPr>
      </w:pPr>
      <w:r w:rsidRPr="00A3640B">
        <w:rPr>
          <w:b/>
        </w:rPr>
        <w:t>It is important that patients are not discouraged from undergoing dental treatment.</w:t>
      </w:r>
    </w:p>
    <w:p w14:paraId="6C50B4D9" w14:textId="77777777" w:rsidR="00220FB9" w:rsidRPr="00B00FB1" w:rsidRDefault="00220FB9" w:rsidP="00220FB9">
      <w:pPr>
        <w:pStyle w:val="Paragraph"/>
        <w:numPr>
          <w:ilvl w:val="0"/>
          <w:numId w:val="10"/>
        </w:numPr>
      </w:pPr>
      <w:r w:rsidRPr="00B00FB1">
        <w:t xml:space="preserve">Advise the patient that due to their heart condition/previous episode of infective endocarditis, there is a very small risk of developing infective endocarditis following an invasive dental procedure but ensure that they understand that the risk is very low. </w:t>
      </w:r>
    </w:p>
    <w:p w14:paraId="6F36E6A2" w14:textId="77777777" w:rsidR="00220FB9" w:rsidRPr="00B00FB1" w:rsidRDefault="00220FB9" w:rsidP="00220FB9">
      <w:pPr>
        <w:pStyle w:val="Paragraph"/>
        <w:numPr>
          <w:ilvl w:val="0"/>
          <w:numId w:val="10"/>
        </w:numPr>
      </w:pPr>
      <w:r w:rsidRPr="00B00FB1">
        <w:t>Explain that infective endocarditis is an infection of the lining of the heart, often involving the heart valves, caused mainly by bacteria which enter the blood from outside the body.</w:t>
      </w:r>
    </w:p>
    <w:p w14:paraId="283AD428" w14:textId="67407AE2" w:rsidR="00220FB9" w:rsidRPr="00B00FB1" w:rsidRDefault="00220FB9" w:rsidP="00CC757E">
      <w:pPr>
        <w:pStyle w:val="Paragraph"/>
        <w:numPr>
          <w:ilvl w:val="0"/>
          <w:numId w:val="10"/>
        </w:numPr>
      </w:pPr>
      <w:r w:rsidRPr="00B00FB1">
        <w:t>Emphasise that infective endocarditis is a very rare but serious condition. The risk of infective endocarditis in the general population is less than 1 case per 10,000 people per year.</w:t>
      </w:r>
      <w:r w:rsidRPr="00B00FB1" w:rsidDel="008C2839">
        <w:t xml:space="preserve"> </w:t>
      </w:r>
      <w:r w:rsidR="00CC757E" w:rsidRPr="00CC757E">
        <w:t>However, their cardiac condition puts them at increased risk of developing infective endocarditis.</w:t>
      </w:r>
    </w:p>
    <w:p w14:paraId="73E9CD62" w14:textId="077F6A6A" w:rsidR="00220FB9" w:rsidRPr="00B00FB1" w:rsidRDefault="00220FB9" w:rsidP="00220FB9">
      <w:pPr>
        <w:pStyle w:val="Paragraph"/>
      </w:pPr>
      <w:r w:rsidRPr="00B00FB1">
        <w:t>The figure b</w:t>
      </w:r>
      <w:r w:rsidR="00CC757E">
        <w:t>elow may help you to explain</w:t>
      </w:r>
      <w:r w:rsidRPr="00B00FB1">
        <w:t xml:space="preserve"> risk to patients.</w:t>
      </w:r>
    </w:p>
    <w:tbl>
      <w:tblPr>
        <w:tblW w:w="0" w:type="auto"/>
        <w:jc w:val="center"/>
        <w:shd w:val="clear" w:color="auto" w:fill="E6F7EE"/>
        <w:tblLook w:val="04A0" w:firstRow="1" w:lastRow="0" w:firstColumn="1" w:lastColumn="0" w:noHBand="0" w:noVBand="1"/>
      </w:tblPr>
      <w:tblGrid>
        <w:gridCol w:w="1063"/>
        <w:gridCol w:w="1499"/>
        <w:gridCol w:w="1539"/>
        <w:gridCol w:w="1583"/>
        <w:gridCol w:w="1352"/>
        <w:gridCol w:w="1486"/>
      </w:tblGrid>
      <w:tr w:rsidR="00220FB9" w:rsidRPr="0028279F" w14:paraId="60CED6C2" w14:textId="77777777" w:rsidTr="005B3303">
        <w:trPr>
          <w:jc w:val="center"/>
        </w:trPr>
        <w:tc>
          <w:tcPr>
            <w:tcW w:w="1304" w:type="dxa"/>
            <w:shd w:val="clear" w:color="auto" w:fill="E6F7EE"/>
            <w:vAlign w:val="center"/>
          </w:tcPr>
          <w:p w14:paraId="6B79140C" w14:textId="77777777" w:rsidR="00220FB9" w:rsidRPr="0028279F" w:rsidRDefault="00220FB9" w:rsidP="005B3303">
            <w:pPr>
              <w:spacing w:after="60"/>
              <w:jc w:val="center"/>
              <w:rPr>
                <w:rFonts w:cs="Arial"/>
                <w:b/>
                <w:sz w:val="16"/>
                <w:szCs w:val="16"/>
              </w:rPr>
            </w:pPr>
            <w:r w:rsidRPr="0028279F">
              <w:rPr>
                <w:rFonts w:cs="Arial"/>
                <w:b/>
                <w:sz w:val="16"/>
                <w:szCs w:val="16"/>
              </w:rPr>
              <w:t>Risk</w:t>
            </w:r>
          </w:p>
        </w:tc>
        <w:tc>
          <w:tcPr>
            <w:tcW w:w="1563" w:type="dxa"/>
            <w:shd w:val="clear" w:color="auto" w:fill="E6F7EE"/>
            <w:vAlign w:val="center"/>
          </w:tcPr>
          <w:p w14:paraId="1F02FC7C" w14:textId="77777777" w:rsidR="00220FB9" w:rsidRPr="0028279F" w:rsidRDefault="00220FB9" w:rsidP="005B3303">
            <w:pPr>
              <w:spacing w:after="60"/>
              <w:jc w:val="center"/>
              <w:rPr>
                <w:rFonts w:cs="Arial"/>
                <w:sz w:val="16"/>
                <w:szCs w:val="16"/>
              </w:rPr>
            </w:pPr>
            <w:r w:rsidRPr="0028279F">
              <w:rPr>
                <w:rFonts w:cs="Arial"/>
                <w:sz w:val="16"/>
                <w:szCs w:val="16"/>
              </w:rPr>
              <w:t>1 in 10</w:t>
            </w:r>
          </w:p>
        </w:tc>
        <w:tc>
          <w:tcPr>
            <w:tcW w:w="1565" w:type="dxa"/>
            <w:shd w:val="clear" w:color="auto" w:fill="E6F7EE"/>
            <w:vAlign w:val="center"/>
          </w:tcPr>
          <w:p w14:paraId="509CD8B8" w14:textId="77777777" w:rsidR="00220FB9" w:rsidRPr="0028279F" w:rsidRDefault="00220FB9" w:rsidP="005B3303">
            <w:pPr>
              <w:spacing w:after="60"/>
              <w:jc w:val="center"/>
              <w:rPr>
                <w:rFonts w:cs="Arial"/>
                <w:sz w:val="16"/>
                <w:szCs w:val="16"/>
              </w:rPr>
            </w:pPr>
            <w:r w:rsidRPr="0028279F">
              <w:rPr>
                <w:rFonts w:cs="Arial"/>
                <w:sz w:val="16"/>
                <w:szCs w:val="16"/>
              </w:rPr>
              <w:t>1 in 100</w:t>
            </w:r>
          </w:p>
        </w:tc>
        <w:tc>
          <w:tcPr>
            <w:tcW w:w="1598" w:type="dxa"/>
            <w:shd w:val="clear" w:color="auto" w:fill="E6F7EE"/>
            <w:vAlign w:val="center"/>
          </w:tcPr>
          <w:p w14:paraId="2C32E31C" w14:textId="77777777" w:rsidR="00220FB9" w:rsidRPr="0028279F" w:rsidRDefault="00220FB9" w:rsidP="005B3303">
            <w:pPr>
              <w:spacing w:after="60"/>
              <w:jc w:val="center"/>
              <w:rPr>
                <w:rFonts w:cs="Arial"/>
                <w:sz w:val="16"/>
                <w:szCs w:val="16"/>
              </w:rPr>
            </w:pPr>
            <w:r w:rsidRPr="0028279F">
              <w:rPr>
                <w:rFonts w:cs="Arial"/>
                <w:sz w:val="16"/>
                <w:szCs w:val="16"/>
              </w:rPr>
              <w:t>1 in 1000</w:t>
            </w:r>
          </w:p>
        </w:tc>
        <w:tc>
          <w:tcPr>
            <w:tcW w:w="1557" w:type="dxa"/>
            <w:shd w:val="clear" w:color="auto" w:fill="E6F7EE"/>
            <w:vAlign w:val="center"/>
          </w:tcPr>
          <w:p w14:paraId="373F81F6" w14:textId="77777777" w:rsidR="00220FB9" w:rsidRPr="0028279F" w:rsidRDefault="00220FB9" w:rsidP="005B3303">
            <w:pPr>
              <w:spacing w:after="60"/>
              <w:jc w:val="center"/>
              <w:rPr>
                <w:rFonts w:cs="Arial"/>
                <w:sz w:val="16"/>
                <w:szCs w:val="16"/>
              </w:rPr>
            </w:pPr>
            <w:r w:rsidRPr="0028279F">
              <w:rPr>
                <w:rFonts w:cs="Arial"/>
                <w:sz w:val="16"/>
                <w:szCs w:val="16"/>
              </w:rPr>
              <w:t>1 in 10,000</w:t>
            </w:r>
          </w:p>
        </w:tc>
        <w:tc>
          <w:tcPr>
            <w:tcW w:w="1563" w:type="dxa"/>
            <w:shd w:val="clear" w:color="auto" w:fill="E6F7EE"/>
            <w:vAlign w:val="center"/>
          </w:tcPr>
          <w:p w14:paraId="1A699D93" w14:textId="77777777" w:rsidR="00220FB9" w:rsidRPr="0028279F" w:rsidRDefault="00220FB9" w:rsidP="005B3303">
            <w:pPr>
              <w:spacing w:after="60"/>
              <w:jc w:val="center"/>
              <w:rPr>
                <w:rFonts w:cs="Arial"/>
                <w:sz w:val="16"/>
                <w:szCs w:val="16"/>
              </w:rPr>
            </w:pPr>
            <w:r w:rsidRPr="0028279F">
              <w:rPr>
                <w:rFonts w:cs="Arial"/>
                <w:sz w:val="16"/>
                <w:szCs w:val="16"/>
              </w:rPr>
              <w:t>1 in 100,000</w:t>
            </w:r>
          </w:p>
        </w:tc>
      </w:tr>
      <w:tr w:rsidR="00220FB9" w:rsidRPr="0028279F" w14:paraId="7E9F8A10" w14:textId="77777777" w:rsidTr="005B3303">
        <w:trPr>
          <w:jc w:val="center"/>
        </w:trPr>
        <w:tc>
          <w:tcPr>
            <w:tcW w:w="1304" w:type="dxa"/>
            <w:shd w:val="clear" w:color="auto" w:fill="E6F7EE"/>
            <w:vAlign w:val="center"/>
          </w:tcPr>
          <w:p w14:paraId="7A11BFD1" w14:textId="77777777" w:rsidR="00220FB9" w:rsidRPr="0028279F" w:rsidRDefault="00220FB9" w:rsidP="005B3303">
            <w:pPr>
              <w:spacing w:after="60"/>
              <w:jc w:val="center"/>
              <w:rPr>
                <w:rFonts w:cs="Arial"/>
                <w:b/>
                <w:sz w:val="16"/>
                <w:szCs w:val="16"/>
              </w:rPr>
            </w:pPr>
            <w:r w:rsidRPr="0028279F">
              <w:rPr>
                <w:rFonts w:cs="Arial"/>
                <w:b/>
                <w:sz w:val="16"/>
                <w:szCs w:val="16"/>
              </w:rPr>
              <w:t>Frequency</w:t>
            </w:r>
          </w:p>
        </w:tc>
        <w:tc>
          <w:tcPr>
            <w:tcW w:w="1563" w:type="dxa"/>
            <w:shd w:val="clear" w:color="auto" w:fill="E6F7EE"/>
            <w:vAlign w:val="center"/>
          </w:tcPr>
          <w:p w14:paraId="15F8B1FC" w14:textId="77777777" w:rsidR="00220FB9" w:rsidRPr="0028279F" w:rsidRDefault="00220FB9" w:rsidP="005B3303">
            <w:pPr>
              <w:spacing w:after="60"/>
              <w:jc w:val="center"/>
              <w:rPr>
                <w:rFonts w:cs="Arial"/>
                <w:sz w:val="16"/>
                <w:szCs w:val="16"/>
              </w:rPr>
            </w:pPr>
            <w:r w:rsidRPr="0028279F">
              <w:rPr>
                <w:rFonts w:cs="Arial"/>
                <w:sz w:val="16"/>
                <w:szCs w:val="16"/>
              </w:rPr>
              <w:t>Someone in your family</w:t>
            </w:r>
          </w:p>
        </w:tc>
        <w:tc>
          <w:tcPr>
            <w:tcW w:w="1565" w:type="dxa"/>
            <w:shd w:val="clear" w:color="auto" w:fill="E6F7EE"/>
            <w:vAlign w:val="center"/>
          </w:tcPr>
          <w:p w14:paraId="00D0CA2C" w14:textId="77777777" w:rsidR="00220FB9" w:rsidRPr="0028279F" w:rsidRDefault="00220FB9" w:rsidP="005B3303">
            <w:pPr>
              <w:spacing w:after="60"/>
              <w:jc w:val="center"/>
              <w:rPr>
                <w:rFonts w:cs="Arial"/>
                <w:sz w:val="16"/>
                <w:szCs w:val="16"/>
              </w:rPr>
            </w:pPr>
            <w:r w:rsidRPr="0028279F">
              <w:rPr>
                <w:rFonts w:cs="Arial"/>
                <w:sz w:val="16"/>
                <w:szCs w:val="16"/>
              </w:rPr>
              <w:t>Someone in a street</w:t>
            </w:r>
          </w:p>
        </w:tc>
        <w:tc>
          <w:tcPr>
            <w:tcW w:w="1598" w:type="dxa"/>
            <w:shd w:val="clear" w:color="auto" w:fill="E6F7EE"/>
            <w:vAlign w:val="center"/>
          </w:tcPr>
          <w:p w14:paraId="64E8A13F" w14:textId="77777777" w:rsidR="00220FB9" w:rsidRPr="0028279F" w:rsidRDefault="00220FB9" w:rsidP="005B3303">
            <w:pPr>
              <w:spacing w:after="60"/>
              <w:jc w:val="center"/>
              <w:rPr>
                <w:rFonts w:cs="Arial"/>
                <w:sz w:val="16"/>
                <w:szCs w:val="16"/>
              </w:rPr>
            </w:pPr>
            <w:r w:rsidRPr="0028279F">
              <w:rPr>
                <w:rFonts w:cs="Arial"/>
                <w:sz w:val="16"/>
                <w:szCs w:val="16"/>
              </w:rPr>
              <w:t>Someone in a village</w:t>
            </w:r>
          </w:p>
        </w:tc>
        <w:tc>
          <w:tcPr>
            <w:tcW w:w="1557" w:type="dxa"/>
            <w:shd w:val="clear" w:color="auto" w:fill="E6F7EE"/>
            <w:vAlign w:val="center"/>
          </w:tcPr>
          <w:p w14:paraId="4B7ECE9F" w14:textId="77777777" w:rsidR="00220FB9" w:rsidRPr="0028279F" w:rsidRDefault="00220FB9" w:rsidP="005B3303">
            <w:pPr>
              <w:spacing w:after="60"/>
              <w:jc w:val="center"/>
              <w:rPr>
                <w:rFonts w:cs="Arial"/>
                <w:sz w:val="16"/>
                <w:szCs w:val="16"/>
              </w:rPr>
            </w:pPr>
            <w:r w:rsidRPr="0028279F">
              <w:rPr>
                <w:rFonts w:cs="Arial"/>
                <w:sz w:val="16"/>
                <w:szCs w:val="16"/>
              </w:rPr>
              <w:t>Someone in a small town</w:t>
            </w:r>
          </w:p>
        </w:tc>
        <w:tc>
          <w:tcPr>
            <w:tcW w:w="1563" w:type="dxa"/>
            <w:shd w:val="clear" w:color="auto" w:fill="E6F7EE"/>
            <w:vAlign w:val="center"/>
          </w:tcPr>
          <w:p w14:paraId="5AC97BCF" w14:textId="77777777" w:rsidR="00220FB9" w:rsidRPr="0028279F" w:rsidRDefault="00220FB9" w:rsidP="005B3303">
            <w:pPr>
              <w:spacing w:after="60"/>
              <w:jc w:val="center"/>
              <w:rPr>
                <w:rFonts w:cs="Arial"/>
                <w:sz w:val="16"/>
                <w:szCs w:val="16"/>
              </w:rPr>
            </w:pPr>
            <w:r w:rsidRPr="0028279F">
              <w:rPr>
                <w:rFonts w:cs="Arial"/>
                <w:sz w:val="16"/>
                <w:szCs w:val="16"/>
              </w:rPr>
              <w:t>Someone in a large town</w:t>
            </w:r>
          </w:p>
        </w:tc>
      </w:tr>
      <w:tr w:rsidR="00220FB9" w:rsidRPr="0028279F" w14:paraId="57091FF3" w14:textId="77777777" w:rsidTr="005B3303">
        <w:trPr>
          <w:jc w:val="center"/>
        </w:trPr>
        <w:tc>
          <w:tcPr>
            <w:tcW w:w="1304" w:type="dxa"/>
            <w:shd w:val="clear" w:color="auto" w:fill="E6F7EE"/>
            <w:vAlign w:val="center"/>
          </w:tcPr>
          <w:p w14:paraId="49808E29" w14:textId="77777777" w:rsidR="00220FB9" w:rsidRPr="0028279F" w:rsidRDefault="00220FB9" w:rsidP="005B3303">
            <w:pPr>
              <w:spacing w:after="60"/>
              <w:jc w:val="center"/>
              <w:rPr>
                <w:rFonts w:cs="Arial"/>
                <w:b/>
                <w:sz w:val="16"/>
                <w:szCs w:val="16"/>
              </w:rPr>
            </w:pPr>
            <w:r w:rsidRPr="0028279F">
              <w:rPr>
                <w:rFonts w:cs="Arial"/>
                <w:b/>
                <w:sz w:val="16"/>
                <w:szCs w:val="16"/>
              </w:rPr>
              <w:t>Illustration</w:t>
            </w:r>
          </w:p>
        </w:tc>
        <w:tc>
          <w:tcPr>
            <w:tcW w:w="1563" w:type="dxa"/>
            <w:shd w:val="clear" w:color="auto" w:fill="E6F7EE"/>
            <w:vAlign w:val="center"/>
          </w:tcPr>
          <w:p w14:paraId="63DA8898" w14:textId="77777777" w:rsidR="00220FB9" w:rsidRPr="0028279F" w:rsidRDefault="00BA2E3B" w:rsidP="005B3303">
            <w:pPr>
              <w:spacing w:after="60"/>
              <w:jc w:val="center"/>
              <w:rPr>
                <w:rFonts w:cs="Arial"/>
                <w:sz w:val="16"/>
                <w:szCs w:val="16"/>
              </w:rPr>
            </w:pPr>
            <w:r>
              <w:rPr>
                <w:rFonts w:cs="Arial"/>
                <w:noProof/>
                <w:sz w:val="16"/>
                <w:szCs w:val="16"/>
                <w:lang w:val="en-US" w:eastAsia="en-US"/>
              </w:rPr>
              <w:pict w14:anchorId="073FF48E">
                <v:shape id="_x0000_i1025" type="#_x0000_t75" style="width:63.75pt;height:42pt;visibility:visible;mso-wrap-style:square">
                  <v:imagedata r:id="rId9" o:title=""/>
                </v:shape>
              </w:pict>
            </w:r>
          </w:p>
        </w:tc>
        <w:tc>
          <w:tcPr>
            <w:tcW w:w="1565" w:type="dxa"/>
            <w:shd w:val="clear" w:color="auto" w:fill="E6F7EE"/>
            <w:vAlign w:val="center"/>
          </w:tcPr>
          <w:p w14:paraId="51B716EB" w14:textId="77777777" w:rsidR="00220FB9" w:rsidRPr="0028279F" w:rsidRDefault="00BA2E3B" w:rsidP="005B3303">
            <w:pPr>
              <w:spacing w:after="60"/>
              <w:jc w:val="center"/>
              <w:rPr>
                <w:rFonts w:cs="Arial"/>
                <w:sz w:val="16"/>
                <w:szCs w:val="16"/>
              </w:rPr>
            </w:pPr>
            <w:r>
              <w:rPr>
                <w:rFonts w:cs="Arial"/>
                <w:noProof/>
                <w:sz w:val="16"/>
                <w:szCs w:val="16"/>
                <w:lang w:val="en-US" w:eastAsia="en-US"/>
              </w:rPr>
              <w:pict w14:anchorId="3B959180">
                <v:shape id="_x0000_i1026" type="#_x0000_t75" style="width:66pt;height:43.5pt;visibility:visible;mso-wrap-style:square">
                  <v:imagedata r:id="rId10" o:title="" croptop="-1802f" cropbottom="1802f" cropleft="7255f"/>
                </v:shape>
              </w:pict>
            </w:r>
          </w:p>
        </w:tc>
        <w:tc>
          <w:tcPr>
            <w:tcW w:w="1598" w:type="dxa"/>
            <w:shd w:val="clear" w:color="auto" w:fill="E6F7EE"/>
            <w:vAlign w:val="center"/>
          </w:tcPr>
          <w:p w14:paraId="77F71E31" w14:textId="77777777" w:rsidR="00220FB9" w:rsidRPr="0028279F" w:rsidRDefault="00BA2E3B" w:rsidP="005B3303">
            <w:pPr>
              <w:spacing w:after="60"/>
              <w:jc w:val="center"/>
              <w:rPr>
                <w:rFonts w:cs="Arial"/>
                <w:sz w:val="16"/>
                <w:szCs w:val="16"/>
              </w:rPr>
            </w:pPr>
            <w:r>
              <w:rPr>
                <w:rFonts w:cs="Arial"/>
                <w:noProof/>
                <w:sz w:val="16"/>
                <w:szCs w:val="16"/>
                <w:lang w:val="en-US" w:eastAsia="en-US"/>
              </w:rPr>
              <w:pict w14:anchorId="73FBB1E4">
                <v:shape id="_x0000_i1027" type="#_x0000_t75" style="width:68.25pt;height:42pt;visibility:visible;mso-wrap-style:square">
                  <v:imagedata r:id="rId11" o:title=""/>
                </v:shape>
              </w:pict>
            </w:r>
          </w:p>
        </w:tc>
        <w:tc>
          <w:tcPr>
            <w:tcW w:w="1557" w:type="dxa"/>
            <w:shd w:val="clear" w:color="auto" w:fill="E6F7EE"/>
            <w:vAlign w:val="center"/>
          </w:tcPr>
          <w:p w14:paraId="5E4E426C" w14:textId="77777777" w:rsidR="00220FB9" w:rsidRPr="0028279F" w:rsidRDefault="00BA2E3B" w:rsidP="005B3303">
            <w:pPr>
              <w:spacing w:after="60"/>
              <w:jc w:val="center"/>
              <w:rPr>
                <w:rFonts w:cs="Arial"/>
                <w:sz w:val="16"/>
                <w:szCs w:val="16"/>
              </w:rPr>
            </w:pPr>
            <w:r>
              <w:rPr>
                <w:rFonts w:cs="Arial"/>
                <w:noProof/>
                <w:sz w:val="16"/>
                <w:szCs w:val="16"/>
                <w:lang w:val="en-US" w:eastAsia="en-US"/>
              </w:rPr>
              <w:pict w14:anchorId="19E4623B">
                <v:shape id="_x0000_i1028" type="#_x0000_t75" style="width:55.5pt;height:42pt;visibility:visible;mso-wrap-style:square">
                  <v:imagedata r:id="rId12" o:title=""/>
                </v:shape>
              </w:pict>
            </w:r>
          </w:p>
        </w:tc>
        <w:tc>
          <w:tcPr>
            <w:tcW w:w="1563" w:type="dxa"/>
            <w:shd w:val="clear" w:color="auto" w:fill="E6F7EE"/>
            <w:vAlign w:val="center"/>
          </w:tcPr>
          <w:p w14:paraId="7B57168D" w14:textId="77777777" w:rsidR="00220FB9" w:rsidRPr="0028279F" w:rsidRDefault="00BA2E3B" w:rsidP="005B3303">
            <w:pPr>
              <w:spacing w:after="60"/>
              <w:jc w:val="center"/>
              <w:rPr>
                <w:rFonts w:cs="Arial"/>
                <w:sz w:val="16"/>
                <w:szCs w:val="16"/>
              </w:rPr>
            </w:pPr>
            <w:r>
              <w:rPr>
                <w:rFonts w:cs="Arial"/>
                <w:noProof/>
                <w:sz w:val="16"/>
                <w:szCs w:val="16"/>
                <w:lang w:val="en-US" w:eastAsia="en-US"/>
              </w:rPr>
              <w:pict w14:anchorId="69992236">
                <v:shape id="_x0000_i1029" type="#_x0000_t75" style="width:63pt;height:42pt;visibility:visible;mso-wrap-style:square">
                  <v:imagedata r:id="rId13" o:title=""/>
                </v:shape>
              </w:pict>
            </w:r>
          </w:p>
        </w:tc>
      </w:tr>
    </w:tbl>
    <w:p w14:paraId="141B8984" w14:textId="77777777" w:rsidR="00220FB9" w:rsidRPr="00B00FB1" w:rsidRDefault="00220FB9" w:rsidP="00220FB9">
      <w:pPr>
        <w:pStyle w:val="Paragraph"/>
      </w:pPr>
      <w:bookmarkStart w:id="2" w:name="_Hlk521685597"/>
      <w:r w:rsidRPr="00B00FB1">
        <w:t>Adapted from Risk Language and Dialects, Calman and Royston, BMJ 1997; 315:939</w:t>
      </w:r>
    </w:p>
    <w:bookmarkEnd w:id="2"/>
    <w:p w14:paraId="7F77576E" w14:textId="77777777" w:rsidR="00220FB9" w:rsidRPr="00B00FB1" w:rsidRDefault="00220FB9" w:rsidP="00220FB9">
      <w:pPr>
        <w:pStyle w:val="Paragraph"/>
        <w:numPr>
          <w:ilvl w:val="0"/>
          <w:numId w:val="11"/>
        </w:numPr>
      </w:pPr>
      <w:r w:rsidRPr="00B00FB1">
        <w:lastRenderedPageBreak/>
        <w:t>Explain that having an invasive dental procedure, such as an extraction, may increase the chances of bacteria entering the bloodstream.</w:t>
      </w:r>
    </w:p>
    <w:p w14:paraId="206205EF" w14:textId="2BF1F24A" w:rsidR="00220FB9" w:rsidRPr="00B00FB1" w:rsidRDefault="00220FB9" w:rsidP="00220FB9">
      <w:pPr>
        <w:pStyle w:val="Paragraph"/>
        <w:numPr>
          <w:ilvl w:val="0"/>
          <w:numId w:val="11"/>
        </w:numPr>
      </w:pPr>
      <w:r w:rsidRPr="00B00FB1">
        <w:t>Explain that everyday activities, such as toothbrushing, flossing and chewing can also cause transient bacteraemias and stress the importance of good oral hygiene</w:t>
      </w:r>
      <w:r w:rsidR="00CC757E">
        <w:t xml:space="preserve"> to</w:t>
      </w:r>
      <w:r w:rsidRPr="00B00FB1">
        <w:t xml:space="preserve"> reduce the risk from oral bacteria.</w:t>
      </w:r>
    </w:p>
    <w:p w14:paraId="6B8A55BF" w14:textId="77777777" w:rsidR="00220FB9" w:rsidRPr="00B00FB1" w:rsidRDefault="00220FB9" w:rsidP="00220FB9">
      <w:pPr>
        <w:pStyle w:val="Paragraph"/>
        <w:numPr>
          <w:ilvl w:val="0"/>
          <w:numId w:val="11"/>
        </w:numPr>
      </w:pPr>
      <w:r w:rsidRPr="00B00FB1">
        <w:t xml:space="preserve">Give advice on prevention of infective endocarditis to all increased risk patients including: </w:t>
      </w:r>
    </w:p>
    <w:p w14:paraId="35087BDF" w14:textId="77777777" w:rsidR="00220FB9" w:rsidRPr="00B00FB1" w:rsidRDefault="00220FB9" w:rsidP="00220FB9">
      <w:pPr>
        <w:pStyle w:val="Paragraph"/>
        <w:numPr>
          <w:ilvl w:val="1"/>
          <w:numId w:val="11"/>
        </w:numPr>
        <w:spacing w:before="0"/>
        <w:ind w:left="1134" w:hanging="357"/>
      </w:pPr>
      <w:r w:rsidRPr="00B00FB1">
        <w:t xml:space="preserve">the potential benefits and risks of antibiotic prophylaxis, and an explanation of why antibiotic prophylaxis is no longer routinely recommended; </w:t>
      </w:r>
    </w:p>
    <w:p w14:paraId="2184DAAD" w14:textId="77777777" w:rsidR="00220FB9" w:rsidRPr="00B00FB1" w:rsidRDefault="00220FB9" w:rsidP="00220FB9">
      <w:pPr>
        <w:pStyle w:val="Paragraph"/>
        <w:numPr>
          <w:ilvl w:val="2"/>
          <w:numId w:val="11"/>
        </w:numPr>
        <w:spacing w:before="0"/>
        <w:ind w:left="1701" w:hanging="357"/>
      </w:pPr>
      <w:r w:rsidRPr="00B00FB1">
        <w:t xml:space="preserve">Explain that dental procedures are no longer thought to be the main cause of infective endocarditis. </w:t>
      </w:r>
    </w:p>
    <w:p w14:paraId="00C5EF53" w14:textId="77777777" w:rsidR="00220FB9" w:rsidRPr="00B00FB1" w:rsidRDefault="00220FB9" w:rsidP="00220FB9">
      <w:pPr>
        <w:pStyle w:val="Paragraph"/>
        <w:numPr>
          <w:ilvl w:val="2"/>
          <w:numId w:val="11"/>
        </w:numPr>
        <w:spacing w:before="0"/>
        <w:ind w:left="1701" w:hanging="357"/>
      </w:pPr>
      <w:r w:rsidRPr="00B00FB1">
        <w:t xml:space="preserve">Explain that it is unclear whether antibiotic prophylaxis prevents infective endocarditis and therefore it may occur whether or not prophylaxis is given. </w:t>
      </w:r>
    </w:p>
    <w:p w14:paraId="447AF9C6" w14:textId="77777777" w:rsidR="00220FB9" w:rsidRPr="00B00FB1" w:rsidRDefault="00220FB9" w:rsidP="00220FB9">
      <w:pPr>
        <w:pStyle w:val="Paragraph"/>
        <w:numPr>
          <w:ilvl w:val="2"/>
          <w:numId w:val="11"/>
        </w:numPr>
        <w:spacing w:before="0"/>
        <w:ind w:left="1701" w:hanging="357"/>
      </w:pPr>
      <w:r w:rsidRPr="00B00FB1">
        <w:t>Explain that antibiotics can cause side effects, such as nausea, diarrhoea and allergic reactions and, in rare cases, anaphylaxis and antibiotic-related colitis. It may also be helpful to discuss the issues surrounding antibiotic resistance.</w:t>
      </w:r>
    </w:p>
    <w:p w14:paraId="3CCD0ABB" w14:textId="77777777" w:rsidR="00220FB9" w:rsidRPr="00B00FB1" w:rsidRDefault="00220FB9" w:rsidP="00220FB9">
      <w:pPr>
        <w:pStyle w:val="Paragraph"/>
        <w:numPr>
          <w:ilvl w:val="1"/>
          <w:numId w:val="11"/>
        </w:numPr>
        <w:spacing w:before="0"/>
        <w:ind w:left="1134" w:hanging="357"/>
      </w:pPr>
      <w:r w:rsidRPr="00B00FB1">
        <w:t>the importance of maintaining good oral health;</w:t>
      </w:r>
    </w:p>
    <w:p w14:paraId="21217928" w14:textId="77777777" w:rsidR="00220FB9" w:rsidRPr="00B00FB1" w:rsidRDefault="00220FB9" w:rsidP="00220FB9">
      <w:pPr>
        <w:pStyle w:val="Paragraph"/>
        <w:numPr>
          <w:ilvl w:val="2"/>
          <w:numId w:val="11"/>
        </w:numPr>
        <w:spacing w:before="0"/>
        <w:ind w:left="1701" w:hanging="357"/>
      </w:pPr>
      <w:r w:rsidRPr="00B00FB1">
        <w:t>Explain the importance of maintaining good oral health to prevent infective endocarditis.</w:t>
      </w:r>
    </w:p>
    <w:p w14:paraId="1C31C97A" w14:textId="77777777" w:rsidR="00220FB9" w:rsidRPr="00B00FB1" w:rsidRDefault="00220FB9" w:rsidP="00220FB9">
      <w:pPr>
        <w:pStyle w:val="Paragraph"/>
        <w:numPr>
          <w:ilvl w:val="2"/>
          <w:numId w:val="11"/>
        </w:numPr>
        <w:spacing w:before="0"/>
        <w:ind w:left="1701" w:hanging="357"/>
      </w:pPr>
      <w:r w:rsidRPr="00B00FB1">
        <w:t xml:space="preserve">Highlight the importance of regular dental check-ups to ensure that any dental disease is treated before invasive dental surgery is required. </w:t>
      </w:r>
    </w:p>
    <w:p w14:paraId="3D0B0DE9" w14:textId="77777777" w:rsidR="00220FB9" w:rsidRPr="00B00FB1" w:rsidRDefault="00220FB9" w:rsidP="00220FB9">
      <w:pPr>
        <w:pStyle w:val="Paragraph"/>
        <w:numPr>
          <w:ilvl w:val="2"/>
          <w:numId w:val="11"/>
        </w:numPr>
        <w:spacing w:before="0"/>
        <w:ind w:left="1701" w:hanging="357"/>
      </w:pPr>
      <w:r w:rsidRPr="00B00FB1">
        <w:t xml:space="preserve">Emphasise that excellent oral hygiene is the best way to prevent oral diseases that could require invasive dental treatment and will also reduce the chance of oral bacteria getting into the blood stream. </w:t>
      </w:r>
    </w:p>
    <w:p w14:paraId="6C216D26" w14:textId="77777777" w:rsidR="00220FB9" w:rsidRPr="00B00FB1" w:rsidRDefault="00220FB9" w:rsidP="00220FB9">
      <w:pPr>
        <w:pStyle w:val="Paragraph"/>
        <w:numPr>
          <w:ilvl w:val="2"/>
          <w:numId w:val="11"/>
        </w:numPr>
        <w:spacing w:before="0"/>
        <w:ind w:left="1701" w:hanging="357"/>
      </w:pPr>
      <w:r w:rsidRPr="00B00FB1">
        <w:lastRenderedPageBreak/>
        <w:t>Advise the patient to reduce the frequency of sugary snacks and drinks to prevent tooth decay.</w:t>
      </w:r>
    </w:p>
    <w:p w14:paraId="59652BE9" w14:textId="77777777" w:rsidR="00220FB9" w:rsidRPr="00B00FB1" w:rsidRDefault="00220FB9" w:rsidP="00220FB9">
      <w:pPr>
        <w:pStyle w:val="Paragraph"/>
        <w:numPr>
          <w:ilvl w:val="1"/>
          <w:numId w:val="11"/>
        </w:numPr>
        <w:spacing w:before="0"/>
        <w:ind w:left="1134" w:hanging="357"/>
      </w:pPr>
      <w:r w:rsidRPr="00B00FB1">
        <w:t>the risks of undergoing invasive procedures, including non-medical procedures such as body piercing or tattooing.</w:t>
      </w:r>
    </w:p>
    <w:p w14:paraId="19527312" w14:textId="77777777" w:rsidR="00220FB9" w:rsidRPr="00B00FB1" w:rsidRDefault="00220FB9" w:rsidP="00220FB9">
      <w:pPr>
        <w:pStyle w:val="Paragraph"/>
        <w:numPr>
          <w:ilvl w:val="0"/>
          <w:numId w:val="11"/>
        </w:numPr>
      </w:pPr>
      <w:r w:rsidRPr="00B00FB1">
        <w:t>For all patients at increased risk of infective endocarditis, advise them to contact their GMP as soon as possible if they notice any of the following symptoms, particularly if they occur together as a flu-like illness:</w:t>
      </w:r>
    </w:p>
    <w:p w14:paraId="0B1542D3" w14:textId="77777777" w:rsidR="00220FB9" w:rsidRPr="00B00FB1" w:rsidRDefault="00220FB9" w:rsidP="00220FB9">
      <w:pPr>
        <w:pStyle w:val="Paragraph"/>
        <w:numPr>
          <w:ilvl w:val="0"/>
          <w:numId w:val="12"/>
        </w:numPr>
        <w:ind w:left="1701"/>
        <w:contextualSpacing/>
        <w:rPr>
          <w:szCs w:val="20"/>
        </w:rPr>
      </w:pPr>
      <w:r w:rsidRPr="00B00FB1">
        <w:rPr>
          <w:szCs w:val="20"/>
        </w:rPr>
        <w:t>A high temperature (fever) of 38</w:t>
      </w:r>
      <w:r w:rsidRPr="00B00FB1">
        <w:rPr>
          <w:szCs w:val="20"/>
          <w:vertAlign w:val="superscript"/>
        </w:rPr>
        <w:t>o</w:t>
      </w:r>
      <w:r w:rsidRPr="00B00FB1">
        <w:rPr>
          <w:szCs w:val="20"/>
        </w:rPr>
        <w:t xml:space="preserve">C or above </w:t>
      </w:r>
    </w:p>
    <w:p w14:paraId="49B13E7E" w14:textId="77777777" w:rsidR="00220FB9" w:rsidRPr="00B00FB1" w:rsidRDefault="00220FB9" w:rsidP="00220FB9">
      <w:pPr>
        <w:pStyle w:val="Paragraph"/>
        <w:numPr>
          <w:ilvl w:val="0"/>
          <w:numId w:val="12"/>
        </w:numPr>
        <w:ind w:left="1701"/>
        <w:contextualSpacing/>
        <w:rPr>
          <w:szCs w:val="20"/>
        </w:rPr>
      </w:pPr>
      <w:r w:rsidRPr="00B00FB1">
        <w:rPr>
          <w:szCs w:val="20"/>
        </w:rPr>
        <w:t>Sweats or chills, especially at night</w:t>
      </w:r>
    </w:p>
    <w:p w14:paraId="2FB73733" w14:textId="77777777" w:rsidR="00220FB9" w:rsidRPr="00B00FB1" w:rsidRDefault="00220FB9" w:rsidP="00220FB9">
      <w:pPr>
        <w:pStyle w:val="Paragraph"/>
        <w:numPr>
          <w:ilvl w:val="0"/>
          <w:numId w:val="12"/>
        </w:numPr>
        <w:ind w:left="1701"/>
        <w:contextualSpacing/>
        <w:rPr>
          <w:szCs w:val="20"/>
        </w:rPr>
      </w:pPr>
      <w:r w:rsidRPr="00B00FB1">
        <w:rPr>
          <w:szCs w:val="20"/>
        </w:rPr>
        <w:t xml:space="preserve">Breathlessness, especially during physical activity </w:t>
      </w:r>
    </w:p>
    <w:p w14:paraId="22CD67AF" w14:textId="77777777" w:rsidR="00220FB9" w:rsidRPr="00B00FB1" w:rsidRDefault="00220FB9" w:rsidP="00220FB9">
      <w:pPr>
        <w:pStyle w:val="Paragraph"/>
        <w:numPr>
          <w:ilvl w:val="0"/>
          <w:numId w:val="12"/>
        </w:numPr>
        <w:ind w:left="1701"/>
        <w:contextualSpacing/>
        <w:rPr>
          <w:szCs w:val="20"/>
        </w:rPr>
      </w:pPr>
      <w:r w:rsidRPr="00B00FB1">
        <w:rPr>
          <w:szCs w:val="20"/>
        </w:rPr>
        <w:t>Weight loss</w:t>
      </w:r>
    </w:p>
    <w:p w14:paraId="3D0F7B57" w14:textId="77777777" w:rsidR="00220FB9" w:rsidRPr="00B00FB1" w:rsidRDefault="00220FB9" w:rsidP="00220FB9">
      <w:pPr>
        <w:pStyle w:val="Paragraph"/>
        <w:numPr>
          <w:ilvl w:val="0"/>
          <w:numId w:val="12"/>
        </w:numPr>
        <w:ind w:left="1701"/>
        <w:contextualSpacing/>
        <w:rPr>
          <w:szCs w:val="20"/>
        </w:rPr>
      </w:pPr>
      <w:r w:rsidRPr="00B00FB1">
        <w:rPr>
          <w:szCs w:val="20"/>
        </w:rPr>
        <w:t xml:space="preserve">Tiredness (fatigue) </w:t>
      </w:r>
    </w:p>
    <w:p w14:paraId="15FB9F7C" w14:textId="77777777" w:rsidR="00220FB9" w:rsidRPr="00B00FB1" w:rsidRDefault="00220FB9" w:rsidP="00220FB9">
      <w:pPr>
        <w:pStyle w:val="Paragraph"/>
        <w:numPr>
          <w:ilvl w:val="0"/>
          <w:numId w:val="12"/>
        </w:numPr>
        <w:ind w:left="1701"/>
        <w:contextualSpacing/>
        <w:rPr>
          <w:szCs w:val="20"/>
        </w:rPr>
      </w:pPr>
      <w:r w:rsidRPr="00B00FB1">
        <w:rPr>
          <w:szCs w:val="20"/>
        </w:rPr>
        <w:t xml:space="preserve">Muscle, joint or back pain (unrelated to recent physical activity) </w:t>
      </w:r>
    </w:p>
    <w:p w14:paraId="71221A95" w14:textId="77777777" w:rsidR="00220FB9" w:rsidRPr="00B00FB1" w:rsidRDefault="00220FB9" w:rsidP="00220FB9">
      <w:pPr>
        <w:pStyle w:val="Paragraph"/>
        <w:numPr>
          <w:ilvl w:val="1"/>
          <w:numId w:val="11"/>
        </w:numPr>
        <w:spacing w:before="0"/>
        <w:ind w:left="1134" w:hanging="357"/>
      </w:pPr>
      <w:r w:rsidRPr="00B00FB1">
        <w:t xml:space="preserve">Emphasise that these symptoms are more likely to be caused by a less serious type of infection but should be investigated. </w:t>
      </w:r>
    </w:p>
    <w:p w14:paraId="4462AB5B" w14:textId="77777777" w:rsidR="00220FB9" w:rsidRPr="00B00FB1" w:rsidRDefault="00220FB9" w:rsidP="00220FB9">
      <w:pPr>
        <w:pStyle w:val="Paragraph"/>
        <w:numPr>
          <w:ilvl w:val="1"/>
          <w:numId w:val="11"/>
        </w:numPr>
        <w:spacing w:before="0"/>
        <w:ind w:left="1134" w:hanging="357"/>
      </w:pPr>
      <w:r w:rsidRPr="00B00FB1">
        <w:t>Ensure that the patient knows to tell any medical professional they seek advice from about any recent invasive dental treatment they may have had.</w:t>
      </w:r>
    </w:p>
    <w:p w14:paraId="1854AB30" w14:textId="77777777" w:rsidR="00220FB9" w:rsidRPr="00B00FB1" w:rsidRDefault="00220FB9" w:rsidP="00220FB9">
      <w:pPr>
        <w:pStyle w:val="Paragraph"/>
        <w:numPr>
          <w:ilvl w:val="0"/>
          <w:numId w:val="11"/>
        </w:numPr>
      </w:pPr>
      <w:r w:rsidRPr="00B00FB1">
        <w:t>Record all discussions with the patient in their clinical notes.</w:t>
      </w:r>
    </w:p>
    <w:p w14:paraId="0337FDD9" w14:textId="77777777" w:rsidR="00220FB9" w:rsidRPr="00B00FB1" w:rsidRDefault="00220FB9" w:rsidP="00220FB9">
      <w:pPr>
        <w:pStyle w:val="Paragraph"/>
        <w:numPr>
          <w:ilvl w:val="0"/>
          <w:numId w:val="11"/>
        </w:numPr>
      </w:pPr>
      <w:r w:rsidRPr="00B00FB1">
        <w:t xml:space="preserve">For patients who are considering antibiotic prophylaxis as part of </w:t>
      </w:r>
      <w:r w:rsidRPr="00B00FB1">
        <w:rPr>
          <w:b/>
        </w:rPr>
        <w:t>non-routine management</w:t>
      </w:r>
      <w:r w:rsidRPr="00B00FB1">
        <w:t xml:space="preserve">, discuss the potential benefits and risks of antibiotic prophylaxis to allow them to make an informed decision. </w:t>
      </w:r>
    </w:p>
    <w:p w14:paraId="16122428" w14:textId="77777777" w:rsidR="00220FB9" w:rsidRPr="00B00FB1" w:rsidRDefault="00220FB9" w:rsidP="00220FB9">
      <w:pPr>
        <w:pStyle w:val="Paragraph"/>
        <w:numPr>
          <w:ilvl w:val="1"/>
          <w:numId w:val="11"/>
        </w:numPr>
        <w:spacing w:before="0"/>
        <w:ind w:left="1134" w:hanging="357"/>
      </w:pPr>
      <w:r w:rsidRPr="00B00FB1">
        <w:t>Ensure patients are aware of the potential for hypersensitivity, anaphylaxis or antibiotic-associated colitis.</w:t>
      </w:r>
    </w:p>
    <w:p w14:paraId="5101E075" w14:textId="77777777" w:rsidR="00220FB9" w:rsidRPr="00B00FB1" w:rsidRDefault="00220FB9" w:rsidP="00220FB9">
      <w:pPr>
        <w:pStyle w:val="Paragraph"/>
        <w:numPr>
          <w:ilvl w:val="1"/>
          <w:numId w:val="11"/>
        </w:numPr>
        <w:spacing w:before="0"/>
        <w:ind w:left="1134" w:hanging="357"/>
      </w:pPr>
      <w:r w:rsidRPr="00B00FB1">
        <w:t xml:space="preserve">Ensure that the patient is aware that the antibiotic prophylaxis should be taken in the dental practice one hour prior to the planned procedure and that they will be required to stay in the practice in the intervening period. </w:t>
      </w:r>
    </w:p>
    <w:p w14:paraId="500CD5C0" w14:textId="101C45B7" w:rsidR="00220FB9" w:rsidRPr="00B00FB1" w:rsidRDefault="00220FB9" w:rsidP="00220FB9">
      <w:pPr>
        <w:pStyle w:val="Paragraph"/>
        <w:numPr>
          <w:ilvl w:val="1"/>
          <w:numId w:val="11"/>
        </w:numPr>
        <w:spacing w:before="0"/>
        <w:ind w:left="1134" w:hanging="357"/>
      </w:pPr>
      <w:r w:rsidRPr="00B00FB1">
        <w:lastRenderedPageBreak/>
        <w:t xml:space="preserve">Alternatively, the patient may choose to take the antibiotic at home. Consider suggesting they contact the practice prior to taking the antibiotic to </w:t>
      </w:r>
      <w:r w:rsidR="00CC757E">
        <w:t>confirm</w:t>
      </w:r>
      <w:r w:rsidRPr="00B00FB1">
        <w:t xml:space="preserve"> that the procedure will be going ahead.</w:t>
      </w:r>
    </w:p>
    <w:p w14:paraId="1770FA26" w14:textId="77777777" w:rsidR="00220FB9" w:rsidRPr="00BA4DBC" w:rsidRDefault="00220FB9" w:rsidP="00220FB9">
      <w:pPr>
        <w:pStyle w:val="Paragraph"/>
        <w:numPr>
          <w:ilvl w:val="1"/>
          <w:numId w:val="11"/>
        </w:numPr>
        <w:spacing w:before="0"/>
        <w:ind w:left="1134" w:hanging="357"/>
      </w:pPr>
      <w:r w:rsidRPr="00B00FB1">
        <w:t>Ensure that patients prescribed an antibiotic are aware that they should seek urgent medical attention if they develop colitis (diarrhoea, which can be severe</w:t>
      </w:r>
      <w:r>
        <w:t>)</w:t>
      </w:r>
    </w:p>
    <w:p w14:paraId="00D37A6C" w14:textId="4321EAF8" w:rsidR="00261C50" w:rsidRPr="002A6331" w:rsidRDefault="00261C50" w:rsidP="00220FB9">
      <w:pPr>
        <w:rPr>
          <w:rStyle w:val="Hyperlink"/>
          <w:i/>
          <w:color w:val="548DD4"/>
          <w:u w:val="none"/>
        </w:rPr>
      </w:pPr>
    </w:p>
    <w:sectPr w:rsidR="00261C50" w:rsidRPr="002A63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71BA" w14:textId="77777777" w:rsidR="00BA2E3B" w:rsidRDefault="00BA2E3B" w:rsidP="00A47927">
      <w:pPr>
        <w:spacing w:line="240" w:lineRule="auto"/>
      </w:pPr>
      <w:r>
        <w:separator/>
      </w:r>
    </w:p>
  </w:endnote>
  <w:endnote w:type="continuationSeparator" w:id="0">
    <w:p w14:paraId="360DF621" w14:textId="77777777" w:rsidR="00BA2E3B" w:rsidRDefault="00BA2E3B" w:rsidP="00A4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BE3D6" w14:textId="77777777" w:rsidR="00BA2E3B" w:rsidRDefault="00BA2E3B" w:rsidP="00A47927">
      <w:pPr>
        <w:spacing w:line="240" w:lineRule="auto"/>
      </w:pPr>
      <w:r>
        <w:separator/>
      </w:r>
    </w:p>
  </w:footnote>
  <w:footnote w:type="continuationSeparator" w:id="0">
    <w:p w14:paraId="4D23FF06" w14:textId="77777777" w:rsidR="00BA2E3B" w:rsidRDefault="00BA2E3B" w:rsidP="00A479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5F0"/>
    <w:multiLevelType w:val="hybridMultilevel"/>
    <w:tmpl w:val="8CCE282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A1B12"/>
    <w:multiLevelType w:val="hybridMultilevel"/>
    <w:tmpl w:val="880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6DD1"/>
    <w:multiLevelType w:val="hybridMultilevel"/>
    <w:tmpl w:val="749A946A"/>
    <w:lvl w:ilvl="0" w:tplc="BABEB49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52" w:hanging="360"/>
      </w:pPr>
      <w:rPr>
        <w:rFonts w:ascii="Courier New" w:hAnsi="Courier New" w:hint="default"/>
      </w:rPr>
    </w:lvl>
    <w:lvl w:ilvl="2" w:tplc="04090005">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 w15:restartNumberingAfterBreak="0">
    <w:nsid w:val="21450BF0"/>
    <w:multiLevelType w:val="hybridMultilevel"/>
    <w:tmpl w:val="2154D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5537A"/>
    <w:multiLevelType w:val="hybridMultilevel"/>
    <w:tmpl w:val="867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E002F"/>
    <w:multiLevelType w:val="multilevel"/>
    <w:tmpl w:val="B6C8927E"/>
    <w:numStyleLink w:val="StyleBulleted18ptBold"/>
  </w:abstractNum>
  <w:abstractNum w:abstractNumId="7" w15:restartNumberingAfterBreak="0">
    <w:nsid w:val="41255882"/>
    <w:multiLevelType w:val="hybridMultilevel"/>
    <w:tmpl w:val="8884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70224"/>
    <w:multiLevelType w:val="hybridMultilevel"/>
    <w:tmpl w:val="9974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E7398"/>
    <w:multiLevelType w:val="hybridMultilevel"/>
    <w:tmpl w:val="810E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B0193"/>
    <w:multiLevelType w:val="hybridMultilevel"/>
    <w:tmpl w:val="04A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7"/>
  </w:num>
  <w:num w:numId="6">
    <w:abstractNumId w:val="0"/>
  </w:num>
  <w:num w:numId="7">
    <w:abstractNumId w:val="8"/>
  </w:num>
  <w:num w:numId="8">
    <w:abstractNumId w:val="5"/>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E74"/>
    <w:rsid w:val="00017F27"/>
    <w:rsid w:val="00036448"/>
    <w:rsid w:val="00220FB9"/>
    <w:rsid w:val="00232A56"/>
    <w:rsid w:val="00261C50"/>
    <w:rsid w:val="0028279F"/>
    <w:rsid w:val="002A3CD2"/>
    <w:rsid w:val="002A6331"/>
    <w:rsid w:val="002C2CC1"/>
    <w:rsid w:val="004A69A4"/>
    <w:rsid w:val="00672D24"/>
    <w:rsid w:val="006833C7"/>
    <w:rsid w:val="006A24DA"/>
    <w:rsid w:val="006A6C26"/>
    <w:rsid w:val="00770DC1"/>
    <w:rsid w:val="0079739B"/>
    <w:rsid w:val="007D00F9"/>
    <w:rsid w:val="00832276"/>
    <w:rsid w:val="008629EF"/>
    <w:rsid w:val="00911DE0"/>
    <w:rsid w:val="00A01BBA"/>
    <w:rsid w:val="00A07645"/>
    <w:rsid w:val="00A2438C"/>
    <w:rsid w:val="00A447F3"/>
    <w:rsid w:val="00A47927"/>
    <w:rsid w:val="00A56790"/>
    <w:rsid w:val="00BA2E3B"/>
    <w:rsid w:val="00CC4D50"/>
    <w:rsid w:val="00CC757E"/>
    <w:rsid w:val="00E27ADA"/>
    <w:rsid w:val="00E83E74"/>
    <w:rsid w:val="00EB30B3"/>
    <w:rsid w:val="00F21DF4"/>
    <w:rsid w:val="00F438F3"/>
    <w:rsid w:val="00FC02CA"/>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CC4D50"/>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CC4D50"/>
    <w:pPr>
      <w:keepNext/>
      <w:spacing w:before="240" w:after="60"/>
      <w:outlineLvl w:val="1"/>
    </w:pPr>
    <w:rPr>
      <w:rFonts w:cs="Arial"/>
      <w:b/>
      <w:bCs/>
      <w:iCs/>
      <w:color w:val="1F497D"/>
      <w:sz w:val="32"/>
      <w:szCs w:val="28"/>
    </w:rPr>
  </w:style>
  <w:style w:type="paragraph" w:styleId="Heading3">
    <w:name w:val="heading 3"/>
    <w:basedOn w:val="Normal"/>
    <w:next w:val="Normal"/>
    <w:qFormat/>
    <w:rsid w:val="00E27ADA"/>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036448"/>
    <w:rPr>
      <w:color w:val="0000FF"/>
      <w:u w:val="single"/>
    </w:rPr>
  </w:style>
  <w:style w:type="paragraph" w:styleId="BalloonText">
    <w:name w:val="Balloon Text"/>
    <w:basedOn w:val="Normal"/>
    <w:link w:val="BalloonTextChar"/>
    <w:rsid w:val="00672D24"/>
    <w:pPr>
      <w:spacing w:line="240" w:lineRule="auto"/>
    </w:pPr>
    <w:rPr>
      <w:rFonts w:ascii="Segoe UI" w:hAnsi="Segoe UI" w:cs="Segoe UI"/>
      <w:sz w:val="18"/>
      <w:szCs w:val="18"/>
    </w:rPr>
  </w:style>
  <w:style w:type="character" w:customStyle="1" w:styleId="BalloonTextChar">
    <w:name w:val="Balloon Text Char"/>
    <w:link w:val="BalloonText"/>
    <w:rsid w:val="00672D24"/>
    <w:rPr>
      <w:rFonts w:ascii="Segoe UI" w:hAnsi="Segoe UI" w:cs="Segoe UI"/>
      <w:sz w:val="18"/>
      <w:szCs w:val="18"/>
    </w:rPr>
  </w:style>
  <w:style w:type="paragraph" w:styleId="Header">
    <w:name w:val="header"/>
    <w:basedOn w:val="Normal"/>
    <w:link w:val="HeaderChar"/>
    <w:unhideWhenUsed/>
    <w:rsid w:val="00A47927"/>
    <w:pPr>
      <w:tabs>
        <w:tab w:val="center" w:pos="4513"/>
        <w:tab w:val="right" w:pos="9026"/>
      </w:tabs>
    </w:pPr>
  </w:style>
  <w:style w:type="character" w:customStyle="1" w:styleId="HeaderChar">
    <w:name w:val="Header Char"/>
    <w:link w:val="Header"/>
    <w:rsid w:val="00A47927"/>
    <w:rPr>
      <w:rFonts w:ascii="Arial" w:hAnsi="Arial"/>
      <w:sz w:val="24"/>
      <w:szCs w:val="24"/>
    </w:rPr>
  </w:style>
  <w:style w:type="paragraph" w:styleId="Footer">
    <w:name w:val="footer"/>
    <w:basedOn w:val="Normal"/>
    <w:link w:val="FooterChar"/>
    <w:unhideWhenUsed/>
    <w:rsid w:val="00A47927"/>
    <w:pPr>
      <w:tabs>
        <w:tab w:val="center" w:pos="4513"/>
        <w:tab w:val="right" w:pos="9026"/>
      </w:tabs>
    </w:pPr>
  </w:style>
  <w:style w:type="character" w:customStyle="1" w:styleId="FooterChar">
    <w:name w:val="Footer Char"/>
    <w:link w:val="Footer"/>
    <w:rsid w:val="00A47927"/>
    <w:rPr>
      <w:rFonts w:ascii="Arial" w:hAnsi="Arial"/>
      <w:sz w:val="24"/>
      <w:szCs w:val="24"/>
    </w:rPr>
  </w:style>
  <w:style w:type="paragraph" w:styleId="ListParagraph">
    <w:name w:val="List Paragraph"/>
    <w:basedOn w:val="Normal"/>
    <w:uiPriority w:val="34"/>
    <w:qFormat/>
    <w:rsid w:val="007D00F9"/>
    <w:pPr>
      <w:spacing w:after="200" w:line="276" w:lineRule="auto"/>
      <w:ind w:left="720"/>
      <w:contextualSpacing/>
    </w:pPr>
    <w:rPr>
      <w:rFonts w:ascii="Calibri" w:hAnsi="Calibri"/>
      <w:sz w:val="22"/>
      <w:szCs w:val="22"/>
    </w:rPr>
  </w:style>
  <w:style w:type="paragraph" w:customStyle="1" w:styleId="Paragraph">
    <w:name w:val="Paragraph"/>
    <w:basedOn w:val="Normal"/>
    <w:link w:val="ParagraphChar3"/>
    <w:qFormat/>
    <w:rsid w:val="00220FB9"/>
    <w:pPr>
      <w:spacing w:before="240" w:after="60"/>
      <w:jc w:val="both"/>
    </w:pPr>
    <w:rPr>
      <w:rFonts w:cs="Arial"/>
    </w:rPr>
  </w:style>
  <w:style w:type="character" w:customStyle="1" w:styleId="ParagraphChar3">
    <w:name w:val="Paragraph Char3"/>
    <w:link w:val="Paragraph"/>
    <w:rsid w:val="00220FB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2018-08-22T11:51:00Z</dcterms:created>
  <dcterms:modified xsi:type="dcterms:W3CDTF">2018-08-22T11:51:00Z</dcterms:modified>
</cp:coreProperties>
</file>